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A/2699/2017 vom 30. Oktober 2017</w:t>
      </w:r>
    </w:p>
    <w:p>
      <w:r>
        <w:t>GE Cour de justice, 2017-10-30, FR</w:t>
      </w:r>
    </w:p>
    <w:p>
      <w:r>
        <w:rPr>
          <w:b/>
        </w:rPr>
        <w:t xml:space="preserve">Quelle: </w:t>
      </w:r>
      <w:r>
        <w:t>https://mcp.opencaselaw.ch/entscheid/ge_gerichte_A_2699_2017</w:t>
      </w:r>
    </w:p>
    <w:p>
      <w:r>
        <w:t>FR: GE_GERICHTE A/2699/2017 du 30 octobre 2017</w:t>
      </w:r>
    </w:p>
    <w:p>
      <w:r>
        <w:t>IT: GE_GERICHTE A/2699/2017 del 30 ottobre 2017</w:t>
      </w:r>
    </w:p>
    <w:p>
      <w:pPr>
        <w:pStyle w:val="Heading2"/>
      </w:pPr>
      <w:r>
        <w:t>Erwägungen</w:t>
      </w:r>
    </w:p>
    <w:p>
      <w:r>
        <w:rPr>
          <w:b/>
        </w:rPr>
        <w:t>E. 6</w:t>
      </w:r>
    </w:p>
    <w:p>
      <w:r>
        <w:t>ème Chambre En la cause Madame A______, domiciliée à GENÈVE, représentée par Swiss Claims Network recourante contre OFFICE DE L'ASSURANCE-INVALIDITÉ DU CANTON DE GENÈVE, sis rue des Gares 12, GENÈVE intimé EN FAIT 1.        Madame A______ (ci-après : l’assurée ou la recourante), née le ______ 1970, originaire de Turquie, mariée, mère de deux enfants nés en 1994 et 2002, a effectué l’école primaire et secondaire en Turquie où elle a vécu jusqu’au 16 avril 2001.![endif]&gt;![if&gt; 2.        Une IRM de la colonne lombaire du 23 décembre 2014 a conclu à une volumineuse protrusion discale L5-S1 comprimant l’émergence des racines S1, en particulier à droite.![endif]&gt;![if&gt; 3.        Le docteur B______, FMH médecine générale interne, a certifié un arrêt de travail total de l’assurée du 1 er avril 2015 au 31 mai 2016.![endif]&gt;![if&gt; 4.        Une IRM de la colonne cervicale du 18 janvier 2016 a conclus à un status post-opératoire au niveau C5-C6, avec artefact métallique, ainsi qu’un remaniement osseux associé. Rétrécissement neuro-foraminal C5-C6 du côté droit sur uncarthrose et arthrose inter-facettaire postérieure, toutefois persistance du plan de clivage graisseux. Pas d’autre anomalie notable, notamment pas de rehaussement suspect.![endif]&gt;![if&gt; 5.        Un examen électroneuromyographique du 8 mars 2016 a conclu à l’absence de signes de dénervation aiguë dans les myotomes C4-D1 à droite parlant contre une lésion radiculaire, toutefois la symptomatologie et surtout la reproduction des douleurs selon un trajet radiculaire C6 à l’examen clinique, sont plutôt en faveur d’une irritation radiculaire C6 à droite. Il existe également une atteinte myélinique des nerfs médians concernant les fibres sensitives lors de son passage au niveau du canal carpien des deux côtés, mais cela n’explique pas la symptomatologie.![endif]&gt;![if&gt; 6.        Un examen électroneuromyographique du 13 avril 2016 a conclu à l’absence de signes de dénervation aiguë dans les myotomes L3-S1 des deux côtés parlant contre une lésion radiculaire à ces niveaux surtout S1 des deux côtés. L’origine de la douleur est probablement liée à une irritation radiculaire mais cliniquement plutôt de type L5 des deux côtés plus marqués à droite.![endif]&gt;![if&gt; 7.        Le 18 avril 2016, l’assurée a déposé une demande de prestations d’invalidité en raison d’une hernie discale ; elle a mentionné une incapacité de travail totale depuis le 27 avril 2015 ; elle a précisé qu’elle était femme au foyer depuis toujours.![endif]&gt;![if&gt; 8.        L’assurée a subi le 29 février 2012 une intervention chirurgicale en raison d’une hernie discale C5-C6 droite dans le service de neurochirurgie des Hôpitaux Universitaires de Genève (ci-après : HUG) par les docteurs C______ et D______.![endif]&gt;![if&gt; 9.        Un rapport de consultation du 27 avril 2016 du service de neurologie des HUG a attesté d’une consultation pour des cervicobrachialgies récidivantes et des lombosciatalgies non déficitaires des deux côtés ; compte tenu de la situation clinico-radiologique, il n’y avait pas d’indication neurochirurgicale pour l’instant. Suite au résultat de l’ENMG, l’assurée devait prendre avis auprès de leurs collègues chirurgiens de la main pour évaluer l’éventualité d’une intervention à la libération du nerf médian. Elle sera réévaluée cliniquement après le traitement conservateur.![endif]&gt;![if&gt; 10.    La fiche d’informations de l’Hospice général du 18 mai 2017 mentionne un suivi depuis le 1 er novembre 2005 et indique que l’assurée est femme au foyer et n’a jamais travaillé en Suisse. Elle avait effectué un stage de six mois auprès de E______, en atelier traitement du linge, en 2007. ![endif]&gt;![if&gt; 11.    Le docteur F______, médecin interne au département de chirurgie des HUG, a certifié une incapacité de travail totale du 26 mai au 30 juin 2016.![endif]&gt;![if&gt; 12.    Le 27 mai 2016, le service de neurologie des HUG a rendu un rapport de consultation en mentionnant un suivi clinico-radiologique de cervicobrachialgies récidivantes, sur un territoire C7 chez l’assurée qui présentait également un syndrome de tunnel carpien bilatéral. Suivi de douleurs lombaires mécaniques irradiant dans les membres inférieurs à prédominance droite irradiant au niveau de la face postérieure de la cuisse et aussi face antérieure et postéro-latérale du mollet jusqu’à la cheville, qui pourrait correspondre à un territoire L5 mais également S1.![endif]&gt;![if&gt; Le diagnostic était celui de syndrome de canal carpien des deux côtés, objectivité à l’ENMG ; status post-microdiscectomie C5-C6 en 2012 ; hernie discale L5-S1 paramédiane, à prédominance gauche. Des propositions de traitement ont été formulées. 13.    Le 29 juin 2016, le Dr B______ a rempli un rapport médical AI attestant de cervico-brachialgies C7 à droite récidivantes. Micro-(illisible) C5-C6 + foraminale C5-C6 en 201. Lombo-sciatalgies droite sur volumineuse hernie discale L5-S1. Syndrome canal carpien, opérée fin mai à droite. Il suivait l’assurée depuis décembre 2014 ; elle présentait des limitations physiques : portage, marche, rester longtemps assis, penchée en avant, fatigabilité. Elle n’avait pas d’activité.![endif]&gt;![if&gt; 14.    Par communication du 16 septembre 2016, l’OAI a constaté que des mesures d’intervention précoce ainsi que de réadaptation professionnelle n’étaient pas indiquées.![endif]&gt;![if&gt; 15.    Le 4 octobre 2016, le service de neurochirurgie des HUG (Drs G______ et H______) ont rendu un rapport de consultation pour cervicobrachialgies récidivantes et lombosciatalgie droite très importante ; une possible prise en charge chirurgicale a été évoquée.![endif]&gt;![if&gt; 16.    Le 21 décembre 2016, la doctoresse I______ du SMR a rendu un avis médical selon lequel il s’agissait d’une assurée de 46 ans, ménagère, en incapacité de travail depuis 27 avril 2015, en raison d’une recrudescence de douleurs cervicobrachiales D sur une sténose foraminale C6 D avec conflit radiculaire (IRM cervicale du 18 janvier 2016). L’assurée souffrait aussi de lombosciatalgies bilatérales non déficitaires sur discopathies dégénératives L4-L5 et L5-S1, avec conflit radiculaire S1 bilatéral. L’assurée présentait des diysesthésies des deux mains (fourmillements) sur un syndrome bilatéral du tunnel carpien, opéré le 26 mai 2016 du côté D. Elle était connue pour des antécédents de cure chirurgicale d’une hernie discale C5-C6 en février 2012, par microdiscectomie. A l’époque, cette intervention avait permis une sédation des douleurs. A l’IRM cervicale de 2016, il était noté une bonne fusion de C5-C6, mais qui s’accompagnait d’un remaniement osseux comprimant la racine C6.![endif]&gt;![if&gt; Les neurochirurgiens préconisaient initialement un traitement conservateur, avec deux infiltrations périradiculaires en L5 et SI D, qui étaient une nécessité pour diagnostiquer le niveau de la symptomatologie radiculaire (L5 versus S1). L’assurée semblait cependant refuser ce geste. Concernant les cervicobrachialgies, les spécialistes préconisaient de régler dans un premier temps le problème du tunnel carpien, puis de réévaluer la situation. En cas d’échec du traitement conservateur, lequel serait exigible, il sera proposé une chirurgie de décompression cervicale et lombaire. L’assurée présentait des douleurs étagées du rachis cervical et lombaire, sans déficit neurologique. Bien que ces douleurs n’avaient pas évolué favorablement depuis 2015, il existait encore des alternatives thérapeutiques auxquelles l’assurée devrait se soumettre pour tenter d’améliorer la situation. En l’état, les limitations fonctionnelles devaient être respectées, y compris dans la sphère ménagère. La capacité de travail était totale dans toute activité. Les limitations fonctionnelles étaient les suivantes : pas de port de charge lourdes de plus de 5 kg, pas de position statique ni de marche prolongées, pas de travail en antéflexion du tronc, pas de travail en porte-à-faux du rachis cervico-dorso-lombaire. 17.    Une IRM de la colonne lombaire du 16 mars 2017 a conclu à une stabilité de l’état dégénératif modéré L4-L5 de la hernie discale L5-S1 avec contact étroit des émergences des racines S1 plus marqué du côté droit.![endif]&gt;![if&gt; 18.    L’OAI a procédé le 3 avril 2017 à une enquête économique sur le ménage, signée par Mesdames J______ et K______, lesquelles ont indiqué que l’assurée n’avait jamais travaillé en Suisse depuis son arrivée en 2001.![endif]&gt;![if&gt; L’assurée présentait : -          un empêchement de 30 % dans le domaine Alimentation (elle ne cuisinait plus du tout mais devrait, selon les limitations fonctionnelles fixée par le SMR, pouvoir participer à la préparation du repas en alternant les positions et en fractionnant son travail) ; l’exigibilité était de 30 %, de sorte que l’empêchement pondéré était nul ;![endif]&gt;![if&gt; -          un empêchement de 80 % dans le domaine Entretien du logement ; l’exigibilité était de 30 %, l’empêchement pondéré était de 10 % ;![endif]&gt;![if&gt; -          un empêchement de 40 % dans le domaine Emplettes et courses diverses ; l’exigibilité était de 40 %, l’empêchement pondéré était nul ;![endif]&gt;![if&gt; -          un empêchement de 40 % dans le domaine Lessive et entretien des vêtements (selon les limitations fonctionnelles retenues, elle devrait pouvoir y participer en alternant les positions et en fractionnant son travail) ; l’exigibilité était de 40 % ; l’empêchement pondéré était nul.![endif]&gt;![if&gt; L’empêchement pondéré total, sans exigibilité, était de 41.9 % et, avec une exigibilité, de 10 %. L’assurée vivait sous le même toit que son époux et son fils aîné, tous deux en bonne santé, sans emploi et pouvant participer aux tâches ménagères. Le plus jeune fils (15 ans) était également en âge de participer à certaines tâches. 19.    Par projet de décision du 6 avril 2017 et décision du 31 mai 2017, l’OAI a rejeté la demande de prestations en constatant que le degré d’invalidité de l’assurée était de 10 %.![endif]&gt;![if&gt; 20.    L’époux de l’assurée a été engagé du 1 er juin au 31 octobre 2017 en tant que serveur au restaurant L______.![endif]&gt;![if&gt; 21.    Le 4 juin 2017, le service de neurologie des HUG (Dr M______) a rendu un rapport de consultation pour une nouvelle évaluation pour lombosciatalgie bilatérale prédominante à droite ; devant la durée de la souffrance et l’échec des traitements, une intervention chirurgicale était à envisager.![endif]&gt;![if&gt; 22.    Le 21 juin 2017, l’assurée a recouru auprès de la chambre des assurances sociales de la Cour de justice à l’encontre de la décision de l’OAI du 31 mai 2017 en faisant valoir qu’elle souffrait physiquement et moralement, qu’elle devait prochainement subir une intervention chirurgicale, qu’elle n’arrivait pratiquement plus à bouger, à marcher et à faire des activités les plus simples, que son empêchement dans le ménage représentait plus d’un 10 %, que depuis l’enquête ménagère, son époux travaillait à 100 % du lundi au vendredi jusqu’à minuit, que son fils aîné vivait chez sa copine et que son fils cadet, étudiant, n’était plus à même de l’aider à domicile.![endif]&gt;![if&gt; 23.    Le 30 juin 2017, le Dr N______ du SMR a rendu un avis selon lequel les nouveaux documents produits confirmaient la situation médicale déjà connue.![endif]&gt;![if&gt; 24.    Le 13 juillet 2017, l’OAI a conclu au rejet du recours au motif que l’exigibilité retenue était limitée et raisonnable ; s’agissant plus particulièrement du fils cadet de 15 ans, aucun élément ne donnait à penser que ce dernier eût été pénalisé dans ses études ou restreint dans ses loisirs ; il pouvait dès lors participer à certaines tâches comme le retenait à juste titre l’enquêtrice.![endif]&gt;![if&gt; Pour ce qui était du fils aîné, l’aide apportée par celui-ci restait dans une mesure raisonnable. A l’heure actuelle, ce dernier était toujours domicilié chez ses parents (extrait Calvin du 13 juillet 2017). S’agissant de l’époux de l’assurée, le fait d’avoir retrouvé un travail à 100 % ne constituait pas un élément suffisant pour ne pas retenir une exigibilité de sa part. L’exigibilité retenue ne constituait pas une charge excessive qui allait au-delà du soutien que l’on pouvait attendre de manière habituelle de ce dernier. Aucun élément au dossier, ne permettait de retenir que les efforts fournis par l’époux seraient au-dessus de ses forces ou de ses capacités. Il était exigible de demander à l’époux de l’assurée une participation effective à la tenue du ménage. Pour le reste, il s’est référé à l’avis du SMR du 30 juin 2017. 25.    Dans un courrier du 25 août 2017, l’assurée a indiqué que son fils aîné n’habitait plus à la maison et refusait de dire où il était domicilié, que le contrat de son époux avait des chances d’être prolongé au-delà du 31 octobre 2017, qu’il terminait ses journées entre 22h. et 24h. et qu’il lui était impossible d’effectuer les activités même les plus simples à la maison.![endif]&gt;![if&gt; 26.    Le 13 septembre 2017, l’assurée, représentée par Swiss Claims Network (SCN), a répliqué en contestant les calculs de l’empêchement ménager ; il convenait de retenir les empêchements suivants :![endif]&gt;![if&gt; -          conduite du ménage : 50 % ;![endif]&gt;![if&gt; -          alimentation : 75 % ;![endif]&gt;![if&gt; -          entretien du logement : 80 % ;![endif]&gt;![if&gt; -          emplettes et courses : 50 % ;![endif]&gt;![if&gt; -          lessive et entretien des vêtements : 50 %.![endif]&gt;![if&gt; L’empêchement pondéré total était de 68.25 %. Son époux travaillait pratiquement tout le samedi et en soirées, de sorte qu’il ne pouvait participer aux tâches ménagères ; son fils aîné vivait avec son amie ; l’exigibilité de 31.9 % était donc contestée ; il convenait de reconnaître une invalidité d’au moins 68.25 %. 27.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Interjeté dans la forme et le délai prévus par la loi, le recours est recevable, en vertu des art. 56ss LPGA.![endif]&gt;![if&gt; 4.        Le litige porte sur le droit de la recourante à une rente d’invalidité singulièrement sur l’évolution de ses empêchements dans la sphère ménagère.![endif]&gt;![if&gt;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 au moins, à un trois-quarts de rente s'il est invalide à 60 % au moins, à une demi-rente s’il est invalide à 50 % au moins, ou à un quart de rente s’il est invalide à 40 % au moins.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8.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b.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9C_785/2014 ).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10.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1d).![endif]&gt;![if&gt; 11.    a. En l’occurrence, l’OAI, en présence d’une assurée ayant un statut de ménagère à 100 %, a fait procéder à une enquête économique sur le ménage, laquelle tient compte des limitations fonctionnelles retenues par le SMR dans son avis du 21 décembre 2016, reconnues comme entraînant une incapacité de travail totale de la recourante dans toute activité depuis le 27 avril 2015, soit « pas de port de charges lourdes de plus de 5 kg, pas de position statique ni de marche prolongées, pas de travail en antéflexion du tronc, pas de travail en porte-à-faux du rachis cervico-dorso-lombaire ». ![endif]&gt;![if&gt; b. La recourante conteste, d’une part, le taux d’empêchement pondéré total retenu par l’enquête, soit 41.9 %, et, d’autre part, le taux d’exigibilité des membres de la famille de 31.9 %. ba. En particulier, la recourante estime qu’elle subit un empêchement dans la conduite du ménage de 50 % ; cependant, elle ne motive pas ce taux par l’existence de limitations fonctionnelles ; en outre, elle ne conteste pas ne pas avoir de limitation sur le plan psychique ou organisationnel, domaine nécessaire pour effectuer une conduite du ménage efficace ; elle prétend ensuite à un empêchement de 75 % au lieu de 30 % dans le domaine de l’alimentation, au motif qu’il est difficilement admissible d’exiger d’elle qu’elle cuisine les repas, mette la table ou lave la vaisselle ; or, les enquêtrices ont estimé que la recourante pouvait participer à la préparation des repas en alternant les positions et en fractionnant son travail, ce que la recourante ne conteste pas de façon convaincante ; la recourante évalue par ailleurs ses empêchements dans le domaine des emplettes et courses à 50 % au lieu de 40 %, en mentionnant qu’elle ne peut plus participer activement aux courses mais qu’elle accompagne son époux lorsque ses douleurs sont supportables ; or, les enquêtrices ont tenu compte de cette situation pour retenir un empêchement de 40 %, de sorte qu’une modification de celui-ci n’est pas justifiée ; enfin, la recourante estime que ses empêchements dans le domaine de la lessive et l’entretien des vêtements est de 50 % au lieu de 40 %, au motif que ces travaux sont pénibles, notamment le repassage et le pliage des habits ; à cet égard, les enquêtrices ont tenu compte du fait que la famille possédait une machine à laver et un séchoir et que la recourante devait pouvoir suspendre les petites pièces sur un étendage à sa hauteur et plier et ranger le linge en alternant les positions et en fractionnant son travail, ce qui n’est pas contesté par la recourante de façon convaincante. Au vu de ce qui précède, il n’y a pas de motif de remettre en cause le taux d’empêchement pondéré total de 41.9 % retenu par les enquêtrices. bb. S’agissant de l’exigibilité des membres de la famille, la recourante invoque une modification de la situation familiale, son époux ayant débuté le 1 er juin 2017 une activité lucrative à 100 % et son fils aîné ayant quitté le domicile familial pour un lieu d’habitation inconnu ; quant à son fils cadet, elle estime qu’il doit se concentrer sur ses études et ne saurait, pour cette raison, être sollicité. Il convient à cet égard de constater que l’activité lucrative de l’époux de la recourante a débuté postérieurement à la décision litigieuse du 31 mai 2017, de sorte qu’il ne peut être pris en considération ; en effet, de jurisprudence constante, le juge apprécie en règle générale la légalité des décisions entreprises d'après l'état de fait existant au moment où la décision litigieuse a été rendue (ATF 131 V 242 consid. 2.1 p. 243; 121 V 362 consid. 1b p. 366), les faits survenus postérieurement, et qui ont modifié cette situation, devant en principe faire l'objet d'une nouvelle décision administrative (ATF 121 V 362 consid. 1b p. 366). Concernant son fils aîné, la recourante ne conteste pas qu’il est toujours actuellement domicilié à son adresse, de sorte qu’il n’y a pas de motif permettant de limiter l’exigibilité retenue à son égard, ce d’autant que la recourante n’a pas pu indiquer où son fils logerait actuellement. Enfin, l’aide du fils cadet a été retenue par l’enquêtrice dans une mesure limitée, en relevant qu’il était en âge de participer à certaines tâches seulement. Il n’y a donc pas de raison de s’écarter de cette appréciation. Cela dit, la chambre de céans constate que le taux d’exigibilité des membres de la famille fixé par l’enquête économique sur le ménage est effectivement important puisqu’il oscille entre 30 % (domaines de l’alimentation, de l’entretien du logement) à 40 % (domaines des emplettes et courses diverses et de la lessive et entretien des vêtements). Cependant, même si l’exigibilité était réduite de moitié, soit respectivement de 15 % et de 20 %, l’empêchement pondéré total n’atteindrait pas le taux de 40 % nécessaire pour l’ouverture du droit aux prestations (mais seulement 25.95 %). c. Partant, la décision litigieuse ne peut qu’être confirmée et le recours rejeté. 12.    Etant donné que depuis le 1 er juillet 2006, la procédure n'est plus gratuite (art. 69 al. 1 bis LAI), il y a lieu de condamner la recourante au paiement d'un émolument de CHF 200.-.![endif]&gt;![if&gt;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