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A/2693/2021 vom 24. September 2021</w:t>
      </w:r>
    </w:p>
    <w:p>
      <w:r>
        <w:t>GE Cour de justice, 2021-09-24, FR</w:t>
      </w:r>
    </w:p>
    <w:p>
      <w:r>
        <w:rPr>
          <w:b/>
        </w:rPr>
        <w:t xml:space="preserve">Quelle: </w:t>
      </w:r>
      <w:r>
        <w:t>https://mcp.opencaselaw.ch/entscheid/ge_gerichte_A_2693_2021</w:t>
      </w:r>
    </w:p>
    <w:p>
      <w:r>
        <w:t>FR: GE_GERICHTE A/2693/2021 du 24 septembre 2021</w:t>
      </w:r>
    </w:p>
    <w:p>
      <w:r>
        <w:t>IT: GE_GERICHTE A/2693/2021 del 24 settembre 2021</w:t>
      </w:r>
    </w:p>
    <w:p>
      <w:pPr>
        <w:pStyle w:val="Heading2"/>
      </w:pPr>
      <w:r>
        <w:t>Volltext</w:t>
      </w:r>
    </w:p>
    <w:p>
      <w:r>
        <w:t>Genève Cour de justice (Cour de droit public) Chambre administrative 24.09.2021 A/2693/2021</w:t>
      </w:r>
    </w:p>
    <w:p>
      <w:r>
        <w:t>A/2693/2021 ATA/984/2021 du 24.09.2021 ( FPUBL ) , REFUSE RÉPUBLIQUE ET CANTON DE GENÈVE POUVOIR JUDICIAIRE A/2693/2021 - FPUBL ATA/ 984/2021 COUR DE JUSTICE Chambre administrative Décision du 24 septembre 2021 sur mesures provisionnelles dans la cause Monsieur A______ représenté par Me Steve Alder, avocat contre VILLE DE GENÈVE Vu le recours interjeté le 18 août 2021 par Monsieur A______ auprès de la chambre administrative de la Cour de justice (ci-après : la chambre administrative) contre la décision du Conseil administratif (ci-après : le Conseil administratif) de la Ville de Genève (ci-après : la ville) du 23 juin 2021 prononçant la résiliation immédiate de son engagement ; que M. A______ concluait à l’annulation de la décision et à ce qu’il soit ordonné à la ville de le réintégrer dans l’emploi qu’il occupait, avec effet au 26 mai 2021 ; que, sur mesures provisionnelles, interdiction devait être faite à la ville de repourvoir son poste jusqu’à droit jugé ; qu’il avait été engagé au B______ (ci-après : B______) le 1 er octobre 2004 et y travaillait en qualité « ______ » ; qu’il avait admis avoir insulté un visiteur du B______ et perdu son calme le 13 mai 2021 ; que le recourant traversait une situation familiale compliquée en raison de deux tentatives de suicide de sa fille et qu’il souffrait, le 13 mai 2021, de complications importantes à la suite de l'administration, la veille, de la première dose du vaccin contre le Covid-19 ; que ces deux éléments pouvaient expliquer, sans toutefois justifier, sa réaction vive du 13 mai 2021 ; qu’il s’agissait toutefois d’un acte isolé qui n'autorisait pas l’ultima ratio que représentait son licenciement immédiat rétroactif ; que son licenciement n’avait pas été précédé d’une enquête administrative ; que les faits n’avaient pas été établis à satisfaction, aucun témoin n'ayant été entendu ; que les faits qui lui étaient reprochés étaient survenus le 13 mai 2021 et la décision contestée plus d’un mois et demi après ; que ce délai n'était pas compatible avec un licenciement avec effet immédiat ; que le statut du personnel de la ville (ci-après : le SPVG) avait été violé, la condition des justes motifs n’étant pas remplie ; que même un licenciement pour motif fondé aurait été disproportionné ; que son intérêt privé à conserver son emploi était important, étant âgé de 56 ans ; que les mesures provisionnelles sollicitées visaient uniquement à lui assurer qu’en cas de victoire sur le fond, la ville le réintégrerait dans son poste ; qu'en effet, selon le SPVG, la réintégration était obligatoire et ne dépendant pas du bon vouloir de l’autorité intimée ; que la ville a conclu au rejet de la requête en mesures provisionnelles ; que, selon l’art. 106 SPVG et la jurisprudence de la chambre administrative, lorsque la réintégration d'un collaborateur était ordonnée, elle devait s'effectuer au sein de la fonction publique de la ville « dans sa fonction ou tout autre poste jugé équivalent » ; que, dans cette hypothèse, la ville devait être en mesure de pouvoir fournir un poste équivalent, mais n’avait pas l’obligation de replacer le recourant dans son poste ; que, de surcroît, celui-ci n’occupait pas un poste au caractère particulier et unique qui rendrait impossible une réintégration ; qu’il ne démontrait pas qu’en l’absence de cette mesure provisionnelle, ses intérêts seraient sévèrement compromis et que cela lui causerait un dommage irréparable ; que, dans sa réplique sur mesures provisionnelles, le recourant a persisté dans ses conclusions ; qu’actif depuis plus de vingt dans le domaine de la surveillance des ______, on ne pouvait exiger de lui, alors qu’il approchait de l’âge de la retraite, de réintégrer une nouvelle fonction ; que son poste ______ au sein d’un ______ revêtait certaines particularités peu usuelles au sein de l’administration municipale ; que la ville ne faisait valoir aucun intérêt à repourvoir rapidement le poste et qu’aucun intérêt public ne s’opposait au prononcé de la mesure provisionnelle sollicitée ; que les parties ont été informées que la cause était gardée à juger sur mesures provisionnelles ; 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 que les décisions sur mesures provisionnelles sont prises par la présidente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chambre de céans dispose dans l'octroi de mesures provisionnelles d'un large pouvoir d'appréciation (ibid.) ; 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op. cit., p. 265) ; qu'à teneur de l'art. 30 SPVG,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que la résiliation par l'employeur (licenciement) fait l'objet d'une décision motivée du Conseil administratif (al. 2) ; que lorsque le licenciement a été précédé d'une suspension, il peut, si les conditions de l'art. 30 sont remplies, être prononcé avec effet à la date de la suspension (art. 99 al. 4 SPVG) ; que l'art. 106 SPVG qui traite des conséquences d’un licenciement sans juste motif prévoit qu'en dérogation avec l’art. 105, en l'absence de juste motif, la chambre administrative annule le licenciement et ordonne la réintégration de la personne intéressée ; qu’il y a donc lieu de peser l'intérêt du recourant à pouvoir retrouver son emploi, dans l'hypothèse où la chambre de céans devait ordonner sa réintégration, respectivement l'intérêt de la ville au bon fonctionnement de son administration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 que la décision litigieuse précise, à propos des événements du 13 mai 2021, que le recourant a eu une altercation avec un visiteur du B______ au cours de laquelle il s’est emporté et l’a notamment traité de « connard fini », selon les déclarations du recourant et lui a dit, selon le visiteur « va te faire foutre et tire-toi ! » ; qu’elle précise que le recourant avait été sanctionné « par le passé, par un avertissement et un blâme, en raison de comportements inappropriés à l’égard de collègues » ; que le recourant ne conteste pas avoir été grossier le 13 mai 2021 avec un visiteur du B______ ; qu’il ne conteste pas non plus les antécédents ; que, selon un procès-verbal établi à la suite de l'audition de l'intéressé, du « ______ » et de l'administratrice, le recourant était « monté en escalade » à trois reprises, au C______, dans le hall d'entrée puis à l'extérieur du ______ avec le visiteur, habitué des lieux, qui avait porté plainte ; que le recourant avait déclaré être conscient de la mauvaise image qu'il avait donnée de lui et du ______; qu'il portait de surcroît un uniforme ______ du B______ ; que le recourant remet en cause la tardiveté d’un licenciement avec effet immédiat, laquelle semble, de prime abord, justifiée par le délai qui lui a été octroyé et prolongé à sa demande pour faire valoir ses propres observations ; que cette façon de faire respecte prima facie le droit d’être entendu du recourant ; que les chances de succès sur cette question n’apparaissent pas, à première vue pas évidentes ; que, de surcroît, les mesures provisionnelles tendent à imposer à la ville de ne pas repourvoir un poste dans l'hypothèse où le recourant obtiendrait gain de cause ; que les chances de succès sont incertaines et la durée de la procédure inconnue ; que, dans ces conditions, l'intérêt de la ville à pouvoir s'organiser pour assurer l'accueil et la sécurité du B______ doit primer ; qu'une réintégration n'impose pas qu'elle se fasse dans le poste précédemment occupé mais peut se faire, de jurisprudence constante, « dans un emploi similaire » ; que, compte tenu du type de poste occupé par le recourant, il ne semble pas, prima facie, qu'aucun autre poste ne puisse répondre à cette définition s’il devait obtenir gain de cause ; que, partant, la requête en mesures provisionnelles sera rejetée, sans qu'il soit nécessaire d'évaluer plus avant les chances de succès du recours. qu’il sera statué sur les frais de la présente décision avec le fond. LA CHAMBRE ADMINISTRATIVE rejette la requête en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Steve Alder, avocat du recourant, ainsi qu'à la Ville de Genève.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