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A/2691/2011 vom 21. September 2011</w:t>
      </w:r>
    </w:p>
    <w:p>
      <w:r>
        <w:t>GE Cour de justice, 2011-09-21, FR</w:t>
      </w:r>
    </w:p>
    <w:p>
      <w:r>
        <w:rPr>
          <w:b/>
        </w:rPr>
        <w:t xml:space="preserve">Quelle: </w:t>
      </w:r>
      <w:r>
        <w:t>https://mcp.opencaselaw.ch/entscheid/ge_gerichte_A_2691_2011</w:t>
      </w:r>
    </w:p>
    <w:p>
      <w:r>
        <w:t>FR: GE_GERICHTE A/2691/2011 du 21 septembre 2011</w:t>
      </w:r>
    </w:p>
    <w:p>
      <w:r>
        <w:t>IT: GE_GERICHTE A/2691/2011 del 21 settembre 2011</w:t>
      </w:r>
    </w:p>
    <w:p>
      <w:pPr>
        <w:pStyle w:val="Heading2"/>
      </w:pPr>
      <w:r>
        <w:t>Volltext</w:t>
      </w:r>
    </w:p>
    <w:p>
      <w:r>
        <w:t>Genève Cour de justice (Cour de droit public) Chambre des assurances sociales 21.09.2011 A/2691/2011</w:t>
      </w:r>
    </w:p>
    <w:p>
      <w:r>
        <w:t>A/2691/2011 ATAS/871/2011 du 21.09.2011 ( LAA ) RÉPUBLIQUE ET CANTON DE GENÈVE POUVOIR JUDICIAIRE A/2691/2011 ATAS/871/2011 COUR DE JUSTICE Chambre des assurances sociales Arrêt incident du 21 septembre 2011 1 ère Chambre En la cause Monsieur K__________, domicilié à Genève, comparant avec élection de domicile en l'étude de Maître FISCHELE Christian recourant contre AXA ASSURANCES SA, sise chemin de Primerose 11, 1002 Lausanne intimée Attendu en fait que Monsieur K__________ est assuré par l'intermédiaire de son employeur contre les accidents professionnels et non professionnels auprès d'AXA ASSURANCES SA (ci-après l'assureur-accidents) selon la loi fédérale sur l'assurance-accidents (LAA) ; Que l'assuré a été victime d'un accident survenu le 14 février 2009 ; qu'il s'est blessé au genou gauche (entorse de moyenne gravité sans lésion osseuse) ; Que l'assuré s'est plaint de douleurs en décembre 2009, puis en juillet 2010 ; qu'il a été opéré le 6 octobre 2010, l'opération, pratiquée par le Docteur L__________, ayant pour but de «resectionner la partie moyenne de la corne postérieure du ménisque interne, l'abstention de traitement de la lésion stable de la corne postérieure du ménisque externe, resectionner les flaps cartilagineux instables et procéder à une chondroplastie du condyle interne ainsi que procéder à des synovectomies juxta-lésionnelles» ; Que selon le rapport d'expertise établi par le Docteur M__________, les troubles actuels de l'assuré ne sont pas en relation de causalité naturelle avec l'accident du 14 février 2009 ; Que par décision du 5 avril 2011, l'assureur-accidents a refusé la prise en charge des frais liés à la rechute invoquée ; qu'il a au surplus indiqué qu'une éventuelle opposition n'aurait pas d'effet suspensif ; Que par courrier du 30 mai 2011, l'assureur a refusé de restituer l'effet suspensif ; Que le 5 juillet 2011, il a rejeté l'opposition formée par l'assuré et mentionné qu'un éventuel recours n'aurait pas d'effet suspensif ; Que l'assuré, représenté par Me Christian FISCHELE, a interjeté recours le 6 septembre 2011 ; qu'il reproche à l'assureur-accidents de ne s'être fondé que sur le rapport d'expertise du Dr M__________, dont les conclusions sont en contradiction avec les avis de ses médecins traitant, et qui se contredisent elles-mêmes ; Qu'il conclut à l'annulation de la décision litigieuse ; qu'il sollicite par ailleurs le rétablissement de l'effet suspensif ; qu'il allègue à cet égard que l'assureur-accidents avait, par communication du 30 mai 2011, décidé de retirer après coup l'effet suspensif au recours, de sorte que l'effet suspensif doit être prononcé contre tout effet des décisions du 5 juillet 2011 et du 5 avril 2011 ; Que dans sa réponse du 13 septembre 2011, l'assureur-accidents a conclu au rejet de la demande de rétablissement de l'effet suspensif ; qu'il rappelle, contrairement à ce qu'allègue le recourant, qu'il avait expressément, dans sa décision du 5 avril 2011, informé l'assuré qu'une éventuelle opposition n'aurait pas d'effet suspensif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le litige porte sur le droit du recourant à des prestations LAA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 que par ailleurs, l'autorité ne saurait retirer l'effet suspensif au recours lorsqu'elle n'a pas de raisons convaincantes pour le faire (ATF 124 V 88 s. consid. 6a, 117 V 191 consid. 2b et les références)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Qu'en l'espèce, et contrairement à ce qui est allégué par le recourant, l'assureur a bel et bien retiré l'effet suspensif à une éventuelle opposition le 5 avril 2011 - retrait qu'il a confirmé le 30 mai 2011 - et à un éventuel recours le 5 juillet 2011 ; Que la Cour de céans relève qu’à ce stade de la procédure, les chances de succès du recourant sur le fond du litige n’apparaissent prima faciae pas telles qu’elles l’emporteraient sur l’intérêt de l’intimée à l’exécution immédiate de sa décision de mettre fin aux prestations ; qu'en effet, la question de savoir si les troubles dont souffre actuellement le recourant sont en lien de causalité avec l'accident du 14 février 2009 doit être examinée au fond et nécessite une étude approfondie de l’ensemble des pièces du dossier ; qu'en l’état, il n’est pas possible de déterminer quelle sera l’issue de la procédure ; Qu'au vu de ce qui précède, la demande en restitution de l’effet suspensif, mal fondée, est rejetée. PAR CES MOTIFS, LA CHAMBRE DES ASSURANCES SOCIALES : Statuant sur incident A la forme : Déclare le recours recevable. Au fond : Rejette la demande en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