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A/2689/2016 vom 21. März 2017</w:t>
      </w:r>
    </w:p>
    <w:p>
      <w:r>
        <w:t>GE Cour de justice, 2017-03-21, FR</w:t>
      </w:r>
    </w:p>
    <w:p>
      <w:r>
        <w:rPr>
          <w:b/>
        </w:rPr>
        <w:t xml:space="preserve">Quelle: </w:t>
      </w:r>
      <w:r>
        <w:t>https://mcp.opencaselaw.ch/entscheid/ge_gerichte_A_2689_2016</w:t>
      </w:r>
    </w:p>
    <w:p>
      <w:r>
        <w:t>FR: GE_GERICHTE A/2689/2016 du 21 mars 2017</w:t>
      </w:r>
    </w:p>
    <w:p>
      <w:r>
        <w:t>IT: GE_GERICHTE A/2689/2016 del 21 marzo 2017</w:t>
      </w:r>
    </w:p>
    <w:p>
      <w:pPr>
        <w:pStyle w:val="Heading2"/>
      </w:pPr>
      <w:r>
        <w:t>Erwägungen</w:t>
      </w:r>
    </w:p>
    <w:p>
      <w:r>
        <w:rPr>
          <w:b/>
        </w:rPr>
        <w:t>E. 1</w:t>
      </w:r>
    </w:p>
    <w:p>
      <w:r>
        <w:t>Les prestations indûment touchées doivent être restituées. La restitution ne peut être exigée lorsque l'intéressé était de bonne foi et qu'elle le mettrait dans une situation difficile.</w:t>
      </w:r>
    </w:p>
    <w:p>
      <w:r>
        <w:rPr>
          <w:b/>
        </w:rPr>
        <w:t>E. 2</w:t>
      </w:r>
    </w:p>
    <w:p>
      <w:r>
        <w:t>Le droit de demander la restitution s'éteint un an après le moment où l'institution d'assurance a eu connaissance du fait, mais au plus tard cinq ans après le versement de la prestation. Si la créance naît d'un acte punissable pour lequel le droit pénal prévoit un délai de prescription plus long, celui-ci est déterminant.</w:t>
      </w:r>
    </w:p>
    <w:p>
      <w:r>
        <w:rPr>
          <w:b/>
        </w:rPr>
        <w:t>E. 3</w:t>
      </w:r>
    </w:p>
    <w:p>
      <w:r>
        <w:t>Le remboursement de cotisations payées en trop peut être demandé. Le droit s'éteint une année après que le cotisant a eu connaissance de ses paiements trop élevés, mais au plus tard cinq ans après la fin de l'année civile au cours de laquelle les cotisations ont été payées ». Selon la jurisprudence rendue sous l’empire de l’art. 47 al. 1 LAVS, l’obligation de restituer suppose en outre que soient remplies les conditions d’une reconsidération ou d’une révision procédurale de la décision – formelle ou non – par laquelle les prestations en cause ont été allouées (ATF 130 V 318 consid. 5.2). En vertu de l’art. 53 LPGA, les décisions et les décisions sur opposition formellement passées en force sont soumises à révision si l’assuré ou l’assureur découvre subséquemment des faits nouveaux importants ou trouve des nouveaux moyens de preuves qui ne pouvaient être produits auparavant. L’assureur peut revenir sur les décisions ou sur les décisions sur opposition formellement passées en force lorsqu’elles sont manifestement erronées et que leurs rectifications revêtent une importance notable. En règle générale, l’octroi illégal de prestations est réputé sans nulle doute erroné (ATF 126 V 399 consid. 2b/bb). 8.        En l’espèce, la caisse a reçu le rapport d’enquête relative au domicile de l’intéressé le 14 août 2015.![endif]&gt;![if&gt; En exigeant la restitution du montant de CHF 7'147.40, par sa décision du 24 juin 2016, elle a agi dans le délai d’un an au sens de l’art. 25 al. 2 LPGA. Quant aux prestations dont le remboursement est réclamé, elle les lui a versées dans les cinq années précédentes, de sorte que les conditions formelles posées à la restitution des prestations par l’art. 25 LPGA sont réalisées. Pour le surplus, le montant de la restitution n’est pas contesté et ne paraît pas contestable. 9.        Il convient à ce stade de rappeler que la restitution ne peut être exigée lorsque l’intéressé était de bonne foi et qu’il le mettrait dans une situation difficile (art. 25 al. 1, 2 ème phrase LPGA).![endif]&gt;![if&gt; Selon l’art. 4 al. 4 OPGA, la demande de remise doit être présentée par écrit. Elle doit être motivée, accompagnée des pièces nécessaires et déposée au plus tard trente jours à compter de l’entrée en force du présent jugement. 10.    Au vu de ce qui précède, le recours est rejeté.![endif]&gt;![if&gt;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