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A/2683/2023 vom 29. März 2023</w:t>
      </w:r>
    </w:p>
    <w:p>
      <w:r>
        <w:t>GE Cour de justice, 2023-03-29, FR</w:t>
      </w:r>
    </w:p>
    <w:p>
      <w:r>
        <w:rPr>
          <w:b/>
        </w:rPr>
        <w:t xml:space="preserve">Quelle: </w:t>
      </w:r>
      <w:r>
        <w:t>https://mcp.opencaselaw.ch/entscheid/ge_gerichte_A_2683_2023</w:t>
      </w:r>
    </w:p>
    <w:p>
      <w:r>
        <w:t>FR: GE_GERICHTE A/2683/2023 du 29 mars 2023</w:t>
      </w:r>
    </w:p>
    <w:p>
      <w:r>
        <w:t>IT: GE_GERICHTE A/2683/2023 del 29 marzo 2023</w:t>
      </w:r>
    </w:p>
    <w:p>
      <w:pPr>
        <w:pStyle w:val="Heading2"/>
      </w:pPr>
      <w:r>
        <w:t>Erwägungen</w:t>
      </w:r>
    </w:p>
    <w:p>
      <w:r>
        <w:rPr>
          <w:b/>
        </w:rPr>
        <w:t>E. 1</w:t>
      </w:r>
    </w:p>
    <w:p>
      <w:r>
        <w:t>![endif]&gt;![if&gt;</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w:t>
      </w:r>
    </w:p>
    <w:p>
      <w:r>
        <w:rPr>
          <w:b/>
        </w:rPr>
        <w:t>E. 1.2</w:t>
      </w:r>
    </w:p>
    <w:p>
      <w:r>
        <w:t>Interjeté en temps utile, le recours est recevable (art. 60 LPGA).![endif]&gt;![if&gt;</w:t>
      </w:r>
    </w:p>
    <w:p>
      <w:r>
        <w:rPr>
          <w:b/>
        </w:rPr>
        <w:t>E. 2</w:t>
      </w:r>
    </w:p>
    <w:p>
      <w:r>
        <w:t>![endif]&gt;![if&gt;</w:t>
      </w:r>
    </w:p>
    <w:p>
      <w:r>
        <w:rPr>
          <w:b/>
        </w:rPr>
        <w:t>E. 2.1</w:t>
      </w:r>
    </w:p>
    <w:p>
      <w:r>
        <w:t>Selon l'art. 54 al. 1 let. c LPGA, les décisions et les décisions sur opposition sont exécutoires lorsque l'effet suspensif attribué à une opposition ou à un recours a été retiré.![endif]&gt;![if&gt;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la caisse de compensation peut, dans sa décision, prévoir qu'un recours éventuel n'aura pas d'effet suspensif, même si la décision porte sur une prestation pécuniaire ; au surplus, l'art. 55 al. 2 à 4 PA est applicable.</w:t>
      </w:r>
    </w:p>
    <w:p>
      <w:r>
        <w:rPr>
          <w:b/>
        </w:rPr>
        <w:t>E. 2.2</w:t>
      </w:r>
    </w:p>
    <w:p>
      <w:r>
        <w:t>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 ATFA du 19 septembre 2006, I 439/06).![endif]&gt;![if&gt;</w:t>
      </w:r>
    </w:p>
    <w:p>
      <w:r>
        <w:rPr>
          <w:b/>
        </w:rPr>
        <w:t>E. 3</w:t>
      </w:r>
    </w:p>
    <w:p>
      <w:r>
        <w:t>En l’occurrence, il n’est pas contesté que le recourant a une dette envers l’intimée et que celle-ci a un intérêt à en obtenir le remboursement, l’intérêt du recourant étant respecté si son minimum vital n’est pas atteint. À cet égard, vu le manque de collaboration du recourant relevé par l’intimée ainsi que le manque de cohérence dans la présentation de ses revenus et charges, l’issue du recours est incertaine sur la question du minimum vital, de sorte que les prévisions sur l’issue du litige sont douteuses.![endif]&gt;![if&gt; En effet, les éléments pertinents pour déterminer le minimum vital du recourant ne sont pas établis. Le recourant allègue qu’il ne perçoit aucun revenu et qu’il dépend de celui de son épouse (revenu total de CHF 8'050.-), sa rente AVS et sa rente LAA (CHF 1'672.-) ne lui étant pas versées. Or, l’intimée relève qu’un solde de sa rente AVS de CHF 895.- est encore versé mensuellement au recourant et que des contradictions entre les éléments de l’opposition et du recours sont présentes. Ces contradictions sont confirmées par l’allégation du recourant, au stade de l’opposition, d’un solde disponible de CHF 814.50, puis, au stade du recours, d’un solde disponible nul, de surcroit sans prise en compte du montant de la rente AVS encore versé au recourant.</w:t>
      </w:r>
    </w:p>
    <w:p>
      <w:r>
        <w:rPr>
          <w:b/>
        </w:rPr>
        <w:t>E. 4</w:t>
      </w:r>
    </w:p>
    <w:p>
      <w:r>
        <w:t>Partant, la demande de restitution de l’effet suspensif sera rejetée.![endif]&gt;![if&gt;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