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A/2681/2013 vom 18. März 2014</w:t>
      </w:r>
    </w:p>
    <w:p>
      <w:r>
        <w:t>GE Cour de justice, 2014-03-18, FR</w:t>
      </w:r>
    </w:p>
    <w:p>
      <w:r>
        <w:rPr>
          <w:b/>
        </w:rPr>
        <w:t xml:space="preserve">Quelle: </w:t>
      </w:r>
      <w:r>
        <w:t>https://mcp.opencaselaw.ch/entscheid/ge_gerichte_A_2681_2013</w:t>
      </w:r>
    </w:p>
    <w:p>
      <w:r>
        <w:t>FR: GE_GERICHTE A/2681/2013 du 18 mars 2014</w:t>
      </w:r>
    </w:p>
    <w:p>
      <w:r>
        <w:t>IT: GE_GERICHTE A/2681/2013 del 18 marzo 2014</w:t>
      </w:r>
    </w:p>
    <w:p>
      <w:pPr>
        <w:pStyle w:val="Heading2"/>
      </w:pPr>
      <w:r>
        <w:t>Volltext</w:t>
      </w:r>
    </w:p>
    <w:p>
      <w:r>
        <w:t>Genève Cour de justice (Cour de droit public) Chambre des assurances sociales 18.03.2014 A/2681/2013</w:t>
      </w:r>
    </w:p>
    <w:p>
      <w:r>
        <w:t>A/2681/2013 ATAS/313/2014 du 18.03.2014 ( AI ) , ADMIS/RENVOI En fait En droit RÉPUBLIQUE ET CANTON DE GENÈVE POUVOIR JUDICIAIRE A/2681/2013 ATAS/313/2014 COUR DE JUSTICE Chambre des assurances sociales Arrêt du 18 mars 2014 1 ère Chambre En la cause Monsieur R___________, domicilié aux ACACIAS, comparant avec élection de domicile en l'étude de Maître BEAUMONT Eric recourant contre OFFICE DE L'ASSURANCE-INVALIDITE DU CANTON DE GENEVE, sis rue des Gares 12, GENEVE intimé EN FAIT 1.        Monsieur R___________, né en 1955, d’origine portugaise, en Suisse depuis janvier 2003, travaille à plein temps en qualité de maçon. Il est en arrêt de travail depuis le 10 mars 2009 après avoir soulevé une lourde plaque d’égout. Il a déposé le 29 juillet 2009 une demande auprès de l’OFFICE DE L’ASSURANCE-INVALIDITE DU CANTON DE GENEVE (ci-après OAI), visant à l’octroi de prestations AI, au motif qu’il souffre de douleurs dorsales depuis cinq mois.![endif]&gt;![if&gt; 2.        L’assuré a été hospitalisé au service de rhumatologie des Hôpitaux Universitaires de Genève (HUG) du 29 juin au 22 juillet 2009, pour des lombalgies subaiguës dans le contexte d’une fracture du sacrum, une ostéopénie et une diverticulose colique.![endif]&gt;![if&gt; 3.        Le 22 janvier 2010, l’OAI a informé l’assuré qu’il avait examiné la possibilité de mettre en place des mesures d’intervention précoce suivies d’éventuelles mesures de réadaptation, mais qu’il avait constaté qu’elles n’étaient pas indiquées actuellement en raison de son état de santé non stabilisé. L’instruction du dossier était en conséquence poursuivie dans le but de déterminer s’il remplissait les conditions pour l’octroi d’une rente d’invalidité. ![endif]&gt;![if&gt; 4.        Dans un rapport adressé à l’OAI le 23 mars 2010, le Docteur A___________, médecin généraliste FMH, a confirmé les diagnostics de lombalgie hyper aiguë invalidante l’obligeant à marcher avec deux cannes anglaises depuis mars 2009, et d’hypoacousie sévère avec perte auditive évaluée à 95%, toutefois sans effet sur la capacité de travail, depuis 2004. Il fixe à 100% l’incapacité de travail de l’assuré en tant que manœuvre dans le bâtiment depuis le 1 er mars 2010. Il indique toutefois qu’on peut s’attendre à une reprise de l’activité professionnelle à une date et à un taux indéterminés. ![endif]&gt;![if&gt; 5.        L’assuré a à nouveau été hospitalisé au service de rhumatologie des HUG du 1 er au 17 février 2010. Les diagnostics de lombocruralgie droite chronique avec rétrécissement foraminal bilatéral L4-L5 sans conflit radiculaire, de status post fracture du sacrum en juillet 2009, et d’ostéopénie (densitométrie osseuse juillet 2009), ont été posés. Dans le rapport de sortie daté du 22 février 2010, les médecins considèrent qu’« une reprise d’activité professionnelle à un pourcentage réduit et sans charge sur son rachis serait souhaitable comme partie intégrante de la rééducation et de la réinsertion en milieu professionnel. Nous soulignons dans le certificat médical, la nécessité de lui attribuer des tâches moins physiques que celles habituellement pratiquées ».![endif]&gt;![if&gt; 6.        Le 6 avril 2010, l’assuré a demandé la prise en charge d’un appareil acoustique.![endif]&gt;![if&gt; 7.        Considérant que les lombalgies étaient disproportionnées au regard de l’atteinte radiologique de l’ENMG, du traitement et des rapports en sa possession, le médecin du Service médical régional AI (SMR) a recommandé de réaliser un examen SMR rhumatologique.![endif]&gt;![if&gt; 8.        Un examen a alors été réalisé le 2 juillet 2010 par le Dr B___________, rhumatologue. Celui-ci a retenu, à titre de diagnostics avec répercussion durable sur la capacité de travail, des lombosciatalgies droites non irritatives, non déficitaires, dans un contexte de protrusions discales étagées, des troubles dégénératifs postérieurs étagés, de composante de canal lombaire étroit avec diminution du trou de conjugaison L4-L5D, et à titre de diagnostic sans répercussion sur la capacité de travail, un status post contusion du sacrum. Il confirme que l’assuré est entièrement incapable de travailler dans son activité habituelle de maçon depuis le 10 mars 2009, mais indique que dans une activité adaptée, sa capacité est de 100% avec une reprise progressive depuis le 18 février 2010, « à traduire en termes de métier par un spécialiste en réadaptation ». Il a décrit les limitations fonctionnelles de l’assuré, soit l’inaptitude aux mouvements répétés de flexion/extension, l’attitude en porte-à-faux, le port de charge au-delà de dix kilos (charges légères), position statique, debout au-delà de trente minutes, assis au-delà de une heure.![endif]&gt;![if&gt; L’expert a constaté que le descriptif de la vie quotidienne montre un assuré qui reste une grande partie de la semaine à domicile. Il n’y a cependant pas d’isolement social : l’assuré a la visite de ses voisins avec lesquels il partage des repas, et également d’un ami avec qui il sort le samedi. L’expert ajoute que le cas évolue vers une chronicisation avec clairement un comportement de type maladie déjà décrit lors des hospitalisations au service de rhumatologie. Le pronostic quant à l’évolution est mauvais au vu de la compréhension très partielle de l’assuré de sa symptomatologie, l’acculturation et du faible niveau social. 9.        Dans un avis du 30 juillet 2010, le médecin du SMR relève dès lors que dans une activité adaptée, la capacité de travail de l’assuré est de 100% dès le 18 février 2010, avec une reprise progressive, soit 50% dès le 18 février 2010, 75% dès le 19 mai 2010, et 100% dès le 2 juillet 2010.![endif]&gt;![if&gt; 10.    Le 7 décembre 2010, l’employeur a informé l’OAI qu’il n’y avait pas de poste plus léger pour l’assuré respectant ses limitations fonctionnelles au sein de l’entreprise (note du).![endif]&gt;![if&gt; 11.    Le 25 février 2011, le Dr A___________ a indiqué que l’état de santé de son patient était resté stationnaire et que le pronostic était « très réservé ».![endif]&gt;![if&gt; 12.    L’employeur a résilié le contrat de travail de l’assuré le 15 mars 2011, avec effet au 30 juin 2011. ![endif]&gt;![if&gt; 13.    Le service de réadaptation professionnelle a proposé la prise en charge d’un stage d’observation professionnelle (15 LAI) avec validation des cibles par un stage en entreprise (ESPACE) aux Etablissements Publics pour l’Intégration (EPI) du 25 juillet au 23 octobre 2011.![endif]&gt;![if&gt; 14.    Le 6 juillet 2011, le Dr A___________ a annoncé que l’état de santé de son patient s’était aggravé depuis le printemps 2011 en raison de l’apparition d’un état dégressif lié, à son avis, à la succession d’échecs thérapeutiques, à la récusation chirurgicale et à l’impasse assécurologique : antalgiques, soutien, physiothérapie. Le médecin a observé « une position antalgique en cyphose lombaire. En position, il doit s’appuyer sur deux cannes, la nuque en hyperextension. Tout changement de position déclenche des paresthésies douloureuses dans la cuisse droite ». Il estime qu’aucune activité n’est imaginable, hormis en ateliers protégés, sans impératif de rendement. On ne peut selon lui envisager un retour au travail ultérieurement en raison de l’intensité et de la chronicité des douleurs. Il estime enfin qu’un examen médical complémentaire n’est pas nécessaire, « la situation me semble évidente. La capacité de travail estimée lors de l’évaluation du service médical de l’AI de juillet 2010 ne correspond pas à la réalité de ce jour ».![endif]&gt;![if&gt; 15.    L’assuré a effectué son stage de réadaptation professionnelle aux EPI à mi-temps dès le 4 août 2011, et l’a interrompu dès le 13 août 2011, muni d’arrêts de travail délivrés par le Dr A___________. ![endif]&gt;![if&gt; Il résulte du rapport établi le 20 octobre 2011 par le chef de secteur des EPI que « bien que démonstratif, l’assuré est ponctuel, respectueux des institutions, volontaire et travailleur. En raison des très fortes limitations démontrées lors de ce stage : taux d’activité inférieure à 100%, rendements moyens de l’ordre de 60%, positions de travail et de déplacement très particulières, nous émettons de sérieux doutes quant à l’employabilité de l’assuré dans le circuit économique normal ». Il a ainsi été mis fin à la mesure le 13 septembre 2011. 16.    Mandaté par l’OAI, le Dr C___________, spécialiste FMH en rhumatologie et médecine interne, a établi un rapport d’expertise le 5 septembre 2012.![endif]&gt;![if&gt; Selon l’expert, l’incapacité de travail de l’assuré dans son activité professionnelle de maçon est définitive. Dans une activité respectant les limitations fonctionnelles décrites en revanche, la capacité de travail est exigible depuis la sortie d’hospitalisation du service de rhumatologie du 18 février 2010, telle que déjà précisé par le Dr B___________ dans son expertise du mois de juillet 2010. Aucune mesure de réadaptation professionnelle n’est envisageable vu l’intensité de la symptomatologie douloureuse et son retentissement sur son fonctionnement dans le cadre d’un syndrome douloureux chronifié. Une activité adaptée à ces limitations peut être exercée à 100%, sans diminution de rendement. Le Dr C___________ considère qu’il n’y a pas aggravation de l’état de santé depuis l’examen SMR du 2 juillet 2010, que les rendements de l’assuré ne peuvent pas être expliqués par une atteinte objective ostéoarticulaire et, s’agissant d’expliquer la discordance entre l’examen SMR du 2 juillet 2010 et le résultat des EPI et de l’arrêt de travail total attesté par le Dr A___________, il a indiqué que « la discordance est aussi manifeste lors de cette expertise, et ceci dans un contexte de syndrome douloureux chronifié marqué au status par de nombreux signes de surcharge fonctionnelle et des autolimitations, éléments subjectifs ne pouvant être intégrés à l’appréciation objective de l’incapacité de travail de l’assuré ». 17.    Dans une note du 9 octobre 2012, le médecin du SMR a dès lors retenu une capacité de travail nulle dans l’activité habituelle dès le 10 mars 2009, et de 100% dans une activité adaptée dès le 18 février 2010.![endif]&gt;![if&gt; 18.    L’OAI a déterminé le degré d’invalidité de l’assuré en comparant, à titre de revenu avec invalidité, un montant de 46'321 fr., résultant des ESS 2010, TA1, pour un homme, tous secteurs confondus, pour une activité simple et répétitive de niveau 4, compte tenu d’un taux d’abattement de 25%, d’une part, et à titre de revenu sans invalidité, celui de 71'038 fr., sur la base du rapport de l’employeur du 29 octobre 2009. Le degré d’invalidité obtenu est de 36%.![endif]&gt;![if&gt; 19.    Par courrier du 13 mars 2013, le Dr D___________. spécialiste FMH en médecine interne, a indiqué que l’assuré présentait actuellement un syndrome douloureux chronique extrêmement invalidant faisant suite à un accident de travail survenu en mars 2009, l’empêchant, à son avis, d’exercer une quelconque activité professionnelle.![endif]&gt;![if&gt; 20.    Le 6 mai 2013, l’OAI a transmis à l’assuré un projet de décision, aux termes duquel sa demande visant à l’octroi d’une rente d’invalidité était rejetée, au motif que son degré d’invalidité fixé à 36% était inférieur aux 40% requis par l’art. 28 al. 2 LAI. Des mesures d’ordre professionnel n’étaient pas non plus envisageables au vu de la symptomatologie douloureuse.![endif]&gt;![if&gt; 21.    Par décision du 17 juin 2013, l’OAI a confirmé son refus.![endif]&gt;![if&gt; 22.    L’assuré, représenté par Me Eric BEAUMONT, a interjeté recours le 19 août 2013 contre ladite décision. Il conclut, préalablement, à une comparution personnelle des parties, à l’ouverture d’enquêtes et à une expertise judiciaire pluridisciplinaire ou à tout le moins à une expertise psychiatrique qui serait confiée au Dr E___________, spécialiste FMH en psychiatrie et psychothérapie, principalement, à l’octroi d’une rente d’invalidité entière et, subsidiairement, au renvoi de la cause à l’OAI pour nouvelle décision.![endif]&gt;![if&gt; 23.    Invité à se déterminer, le SMR a considéré, dans une note du 3 octobre 2013, qu’il semblait nécessaire de mettre en place une expertise psychiatrique pour évaluer l’existence d’une comorbidité psychiatrique, ainsi que les critères d’invalidité de la jurisprudence.![endif]&gt;![if&gt; 24.    Dans sa réponse du 17 octobre 2013, l’OAI, se référant expressément à l’avis du SMR, a proposé le renvoi du dossier pour reprise de l’instruction et nouvelle décision.![endif]&gt;![if&gt; 25.    Le 14 novembre 2013, l’assuré a pris note de ce que le SMR admettait l’utilité d’une expertise psychiatrique et confirme que « si la proposition de l’AI sur laquelle je dois me déterminer, est de vous inviter à ordonner préalablement à toute instruction une expertise judiciaire pluridisciplinaire, à tout le moins psychiatrique, je souscris pleinement à cette suggestion. Il me paraît en effet indispensable qu’un médecin, sans lien avec l’une ou l’autre des parties, apprécie sans délai et de manière approfondie l’état de santé de mon client ».![endif]&gt;![if&gt; 26.    Ce courrier a été transmis à l’OAI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de l'assuré à une rente d'invalidité entière.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8.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![endif]&gt;![if&gt;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9.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5.1).![endif]&gt;![if&gt;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Ainsi, les principes jurisprudentiels développés en matière de troubles somatoformes douloureux sont également applicables à la fibromyalgie (ATF 132 V 65 , consid. 4.1) au syndrome de fatigue chronique (ATF non publié 9C_662/2009 du 17 août 2010, consid. 2.3), de neurasthénie (ATFA non publié I 70/07 du 14 avril 2008, consid. 5), d'anesthésie dissociative et d'atteintes sensorielles (ATFA non publié I 9/07 du 9 février 2007, consid. 4) ainsi qu'en matière de troubles moteurs dissociatifs (ATF non publié 9C_903/2007 du 30 avril 2008, consid. 3.4) et de traumatisme du type "coup du lapin" (ATF 136 V 279 , consid. 3.2.3).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11.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Toutefois,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non publié 9C_512/2013 du 16 janvier 2014, consid. 5.2.1 ; ATF 9C_1035/2009 du 22 juin 2010 consid. 4.1, in SVR 2011 IV n° 6 p. 17; ATF 9C_833/2007 du 4 juillet 2008, in Plädoyer 2009/1 p. 70; ATF I 35/03 du 24 octobre 2003 consid. 4.3 et les références, in Plädoyer 2004/3 p. 64).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14.    En l’espèce, le SMR a recommandé de soumettre l’assuré à une expertise psychiatrique. L’OAI a dès lors proposé le renvoi du dossier pour reprise de l’instruction.![endif]&gt;![if&gt; 15.    La Chambre de céans considère que c'est à juste titre que le SMR a estimé qu'une expertise psychiatrique était nécessaire. Le dossier n'est en effet pas en état d'être jugé, en l'absence d'une telle expertise. Il y a lieu de rappeler à cet égard que le Dr C___________ a constaté la présence d'un syndrome douloureux chronique. Le Dr D___________ a également diagnostiqué un syndrome douloureux chronique. Il s'agit ainsi de déterminer si ce syndrome peut être retenu à titre de trouble somatoforme douloureux et s'il est invalidant au sens de la LAI. Or, une expertise psychiatrique est, en principe, nécessaire quand il s'agit de se prononcer sur l'incapacité de travail que les troubles somatoformes douloureux sont susceptibles d'entraîner (ATF 130 V 352 ).![endif]&gt;![if&gt; 16.    L’assuré, s’il approuve le principe d’un complément d’instruction sous forme d’expertise, s’oppose toutefois à ce que l’expert soit mandaté par l’OAI.![endif]&gt;![if&gt; Reste dès lors à déterminer si la Chambre de céans doit effectuer elle-même les mesures d’instruction complémentaires ou si elle peut renvoyer la cause à l’OAI. 17.    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Les parties sont donc en principe - sous réserve du devoir de collaborer à l'instruction de l'affaire - dispensées de l'obligation de prouver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 U 349 p. 478 consid. 2b).![endif]&gt;![if&gt;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18.    En l'espèce, l'OAI admet lui-même, dans sa réponse au recours, la nécessité de mettre en place une expertise. Il y a également lieu de constater que le syndrome douloureux chronique avait été évoqué avant que la décision litigieuse ne soit rendue. Il appartenait dès lors à l'OAI d'approfondir l'instruction sur le plan psychiatrique, ce qu'elle n'a pas fait, de sorte que le renvoi du dossier se justifie.![endif]&gt;![if&gt; 19.    Aussi le recours est-il partiellement admis et la cause renvoyée à l'OAI pour instruction complémentaire, sous forme d'une expertise psychiatrique, et pour nouvelle décision.![endif]&gt;![if&gt; PAR CES MOTIFS, LA CHAMBRE DES ASSURANCES SOCIALES : Statuant A la forme : 1.        Déclare le recours recevable.![endif]&gt;![if&gt; Au fond : 2.        L’admet partiellement et renvoie la cause à l'OAI pour instruction complémentaire, sous forme d'une expertise psychiatrique, et pour nouvelle décision.![endif]&gt;![if&gt; 3.        Condamne l’OAI à verser au recourant une indemnité de 1'200 fr. à titre de dépens.![endif]&gt;![if&gt; 4.        Met un émolument de 200 fr. à la charge de l’OAI.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