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A/2679/2007 vom 22. Januar 2008</w:t>
      </w:r>
    </w:p>
    <w:p>
      <w:r>
        <w:t>GE Cour de justice, 2008-01-22, FR</w:t>
      </w:r>
    </w:p>
    <w:p>
      <w:r>
        <w:rPr>
          <w:b/>
        </w:rPr>
        <w:t xml:space="preserve">Quelle: </w:t>
      </w:r>
      <w:r>
        <w:t>https://mcp.opencaselaw.ch/entscheid/ge_gerichte_A_2679_2007</w:t>
      </w:r>
    </w:p>
    <w:p>
      <w:r>
        <w:t>FR: GE_GERICHTE A/2679/2007 du 22 janvier 2008</w:t>
      </w:r>
    </w:p>
    <w:p>
      <w:r>
        <w:t>IT: GE_GERICHTE A/2679/2007 del 22 gennaio 2008</w:t>
      </w:r>
    </w:p>
    <w:p>
      <w:pPr>
        <w:pStyle w:val="Heading2"/>
      </w:pPr>
      <w:r>
        <w:t>Erwägungen</w:t>
      </w:r>
    </w:p>
    <w:p>
      <w:r>
        <w:rPr>
          <w:b/>
        </w:rPr>
        <w:t>E. 2</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5 juin 2007 et statuant sur un état de fait juridiquement déterminant remontant à l'année 2000-2001, le présent litige sera examiné à la lumière des anciennes dispositions de la LAI pour la période s'étendant jusqu'au 31 décembre 2002 et, le cas échéant, au regard des nouvelles dispositions de la LPGA pour la période postérieure (ATF 130 V 332 consid. 2.2 et 2.3).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w:t>
      </w:r>
    </w:p>
    <w:p>
      <w:r>
        <w:rPr>
          <w:b/>
        </w:rPr>
        <w:t>E. 4</w:t>
      </w:r>
    </w:p>
    <w:p>
      <w:r>
        <w:t>Le litige porte sur l'évaluation de l'invalidité de l'assuré et en particulier sur son droit à une rente de l'assurance-invalidité.</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La mesure de ce qui est exigible doit toutefois être déterminée très objectivement. Il faut donc établir si et dans quelle mesure un assuré peut, malgré son infirmité mentale, exercer une activité que lui offre le marche du travail équilibré, compte tenu de ses aptitudes. Le point déterminant ici est de savoir quelle activité peut raisonnablement être exigée dans son cas. Pour admettre l'existence d'une incapacité de gain causée par une atteinte à la santé mentale, il n'est donc pas déterminant que l'assuré exerce une activité lucrative insuffisante, il faut bien plutôt se demander s'il y a lieu d'admettre que la mise à profit de sa capacité de gain ne peut, pratiquement, plus être raisonnablement exigée de lui ou qu'elle serait même insupportable pour la société (ATF 102 V 105 = RCC 1989 p. 284 consid. 1a et 1987 p. 469 consid. 2a avec références ; RCC 1992 p. 182). Selon la jurisprudence, ces principes sont valables pour les psychopathies (ATFA 1963, p. 36, 1961 p. 164 ; RCC 1980, p. 555 consid. 1), les altérations du développement psychique (ATFA 1961 p.326 consid. 3), l'alcoolisme (ATFA 1968 p. 278 consid. 3a), l'abus de médicaments dû à la pharmacodépendance (RCC 1964 p. 157 consid. 3 et 4, 1962 p. 34 ; RCC 1981 p. 39 consid. 2 et p. 124 s., 1977 p. 169).</w:t>
      </w:r>
    </w:p>
    <w:p>
      <w:r>
        <w:rPr>
          <w:b/>
        </w:rPr>
        <w:t>E. 7</w:t>
      </w:r>
    </w:p>
    <w:p>
      <w:r>
        <w:t>Le diagnostic de toxicomanie ou de dépendance à la drogue ne permet pas à lui seul de conclure que la personne assurée ne pourrait plus s'abstenir de drogue ; de même, la dépendance à la drogue est tout aussi peu liée de manière automatique à une diminution de la capacité de travail ou de gain. Dans ces conditions, selon la jurisprudence constante, la toxicomanie est constitutive d'invalidité seulement si les facteurs mentionnés à l'art. 4 al. 1 LAI sont réalisés et représente simplement une concrétisation de la notion d'invalidité. Il s'agit donc d'une jurisprudence non pas qui restreint les conditions générales de l'invalidité mais qui les explicite (SVR 2001 n° 3 p. 7 cons. 4b ; VSI 2002 p. 33). En conséquence, la toxico-dépendance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w:t>
      </w:r>
    </w:p>
    <w:p>
      <w:r>
        <w:rPr>
          <w:b/>
        </w:rPr>
        <w:t>E. 8</w:t>
      </w:r>
    </w:p>
    <w:p>
      <w:r>
        <w:t>En l'espèce, le Dr O_________R a expliqué qu'à partir de la séparation d'avec sa deuxième épouse et de son retour en Suisse, l'assuré avait souffert d'un état de tension nerveuse avec l'apparition de douleurs rachidiennes cervico-dorso-lombaires, de troubles sensitifs distaux des deux membres inférieurs, de perte d'équilibre et de sorte de spasmes douloureux sous forme de mouvements brusques/sursauts intéressant la nuque, le tronc et les quatre extrémités, de troubles du sommeil et avait parallèlement développé une dépendance essentiellement vespérale aux benzodiazépines. Le Dr M_________ a indiqué qu'il ne s'agissait pas dans le cas de son patient d'addiction au sens habituel d'appétence du produit, puisque la consommation de benzodiazépines avait pour but de contrôler les spasmes et contractures douloureuses, manifestations de la polyneuropathie sensitive dont il est atteint et survenant le soir. Le Dr M_________ a précisé que les troubles dont souffrait son patient étaient sans substrat organique. Le Dr O_________ a également constaté qu'ils étaient sans explication neurologique. L'assuré reproche à cet égard à l'OCAI de n'avoir pas suffisamment instruit le dossier. Peu importe toutefois de savoir quelle est l'origine de ces troubles. Il suffit de déterminer s'ils ont valeur de maladie de nature à réduire la capacité de gain et s'ils ont provoqué la dépendance aux benzodiazépines. Or force est d'emblée de constater qu'ils ne réduisent pas, en tant que tels, de façon significative, la capacité de gain. Il appert en effet de l'électroneuromyographie du 2 décembre 2002 que la polyneuropathie constitue en l'espèce une atteinte modérée et que selon le Dr O_________, elle n'a aucune influence sur la capacité de travail de l'assuré. Reste à déterminer si la dépendance aux benzodiazépines a entraîné une atteinte à la santé physique ou mentale, provoquant une diminution de la capacité de gain. L'assuré souffre de troubles du sommeil (difficultés importantes à l'endormissement), de troubles de la mémoire, d'intolérance au stress, de déficit de l'organisation de nouvelles informations, lesquels impliquent une baisse de rendement de 30%, selon le Dr O_________. Lors de son audition, le Dr M_________ a déclaré être d'accord avec ce taux pour autant qu'il ne concerne que le problème neuropsychologique. Il y a ainsi lieu de conclure que l'assuré présente une incapacité de travail de 30% en raison d'atteintes à la santé provoquées par la toxico-dépendance. Celle-ci devrait donc être considérée comme une affection à prendre en charge par l'AI, d'autant plus que toutes les tentatives de sevrage entreprises se sont soldées par des échecs, ce malgré la bonne volonté de l'assuré relevée par les médecins, d'une part, et qu'il ne s'agit pas véritablement d'une adddiction, ainsi que l'a expliqué, de façon convaincante le Dr M_________. Le taux de 30% ne justifie cependant pas l'octroi d'une rente, mais il ouvre le droit à des mesures de réadaptation.</w:t>
      </w:r>
    </w:p>
    <w:p>
      <w:r>
        <w:rPr>
          <w:b/>
        </w:rPr>
        <w:t>E. 10</w:t>
      </w:r>
    </w:p>
    <w:p>
      <w:r>
        <w:t>Les médecins, dont le Dr N_________, ont posé le diagnostic de syndrome douloureux somatoforme persistant. Le Dr N_________ a considéré que cette atteinte n'était pas invalidante au sens de la LAI. Il s'agit-là cependant d'une question de droit qu'il appartient au Tribunal de céans de trancher.</w:t>
      </w:r>
    </w:p>
    <w:p>
      <w:r>
        <w:rPr>
          <w:b/>
        </w:rPr>
        <w:t>E. 11</w:t>
      </w:r>
    </w:p>
    <w:p>
      <w:r>
        <w:t>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récent (ATFA non publié du 8 février 2006, I 336/04, prévu pour la publication dans le Recueil officiel), le Tribunal fédéral des assurances (ci-après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Au nombre des critères dégagés par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En outre, il est admis que la reconnaissance du caractère invalidant de troubles somatoformes douloureux chez de jeunes assurés doit rester exceptionnelle en l’absence de comorbidité psychiatrique (cf. notamment ATFA non publié du 28 juin 2005, I 524/04).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w:t>
      </w:r>
    </w:p>
    <w:p>
      <w:r>
        <w:rPr>
          <w:b/>
        </w:rPr>
        <w:t>E. 12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déclarations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13</w:t>
      </w:r>
    </w:p>
    <w:p>
      <w:r>
        <w:t>. Le diagnostic de trouble somatoforme douloureux ne suffit pas pour justifier l'octroi de prestations AI. La jurisprudence exige la présence manifeste d'une comorbidité psychiatrique d'une acuité et d'une durée importantes. L'assuré souffre d'épisodes dépressifs et de dysthymie. C'est le lieu de préciser, s'agissant des troubles dépressifs, que selon la doctrine médicale (cf. notamment DILLING/MOMBOUR/SCHMIDT [Hrsg.], Internationale Klassifikation psychischer Störungen, ICD-10 Kapitel V [F], 4 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w:t>
      </w:r>
    </w:p>
    <w:p>
      <w:r>
        <w:rPr>
          <w:b/>
        </w:rPr>
        <w:t>E. 14</w:t>
      </w:r>
    </w:p>
    <w:p>
      <w:r>
        <w:t>. Il convient dès lors de conclure à l'absence de comorbidité psychiatrique grave et d'examiner si les autres critères dégagés par la jurisprudence du TFA, susceptibles de fonder un pronostic défavorable quant à l'exigibilité, au plan psychique, d'une reprise de l'activité professionnelle, sont ou non réalisés. Dans un tel cas en effet, l'incapacité de travail résultant de troubles psychiques s'évalue à la lumière de ces critères et non plus en regard des seules conclusions médicales dont il est dès lors possible de s'écarter. En l'occurrence, l'assuré se plaint certes de douleurs rachidiennes cervico-dorso-lombaires notamment depuis 2000. On ne peut toutefois considérer qu'il subit une perte d'intégration sociale. Le Dr N_________ a à cet égard relevé que l'assuré avait gardé des contacts avec sa famille et des amis. De même l'état psychique ne peut-il être considéré comme cristallisé.</w:t>
      </w:r>
    </w:p>
    <w:p>
      <w:r>
        <w:rPr>
          <w:b/>
        </w:rPr>
        <w:t>E. 15</w:t>
      </w:r>
    </w:p>
    <w:p>
      <w:r>
        <w:t>Force est, au vu de ce qui précède, de considérer que les troubles psychiques de l'assuré ne se manifestent pas avec une telle sévérité que, d'un point de vue objectif, ils excluent toute mise en valeur de sa capacité de travail. Il y a ainsi lieu de considérer, pour résumer, que l'assuré présente une incapacité de travail de 30%. Il se justifie dès lors de renvoyer la cause à l'OCAI afin que celui-ci examiner quelles mesures de réadaptation peuvent être, le cas échéant, mises en place.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