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A/2663/2022 vom 5. Dezember 2022</w:t>
      </w:r>
    </w:p>
    <w:p>
      <w:r>
        <w:t>GE Cour de justice, 2022-12-05, FR</w:t>
      </w:r>
    </w:p>
    <w:p>
      <w:r>
        <w:rPr>
          <w:b/>
        </w:rPr>
        <w:t xml:space="preserve">Quelle: </w:t>
      </w:r>
      <w:r>
        <w:t>https://mcp.opencaselaw.ch/entscheid/ge_gerichte_A_2663_2022</w:t>
      </w:r>
    </w:p>
    <w:p>
      <w:r>
        <w:t>FR: GE_GERICHTE A/2663/2022 du 5 décembre 2022</w:t>
      </w:r>
    </w:p>
    <w:p>
      <w:r>
        <w:t>IT: GE_GERICHTE A/2663/2022 del 5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 1 er janvier 2021 est entrée en vigueur la modification du 21 juin 2019 de la LPGA. Dans la mesure où le recours a été interjeté postérieurement au 1 er janvier 2021, il est soumis au nouveau droit (cf. art. 82a LPGA a contrario).![endif]&gt;![if&gt;</w:t>
      </w:r>
    </w:p>
    <w:p>
      <w:r>
        <w:rPr>
          <w:b/>
        </w:rPr>
        <w:t>E. 3</w:t>
      </w:r>
    </w:p>
    <w:p>
      <w:r>
        <w:t>Interjeté dans la forme et le délai prévus par la loi, compte tenu de la suspension des délais pour la période du 15 juillet au 15 août inclusivement (art. 38 al. 4 let. b LPGA et art. 89C let. b LPA), le recours est recevable.![endif]&gt;![if&gt;</w:t>
      </w:r>
    </w:p>
    <w:p>
      <w:r>
        <w:rPr>
          <w:b/>
        </w:rPr>
        <w:t>E. 4</w:t>
      </w:r>
    </w:p>
    <w:p>
      <w:r>
        <w:t>Le litige porte sur la question de savoir si le recourant peut bénéficier d’une remise de l’obligation de restituer les PCC perçues en trop du 1 er septembre 2015 au 31 octobre 2020, en raison de la prise en compte d'un montant erroné de sa rente de la prévoyance professionnelle, étant précisé que l'intimé a admis la remise du montant des PCC perçu en trop en raison du séjour de la fille du recourant chez celui-ci, du 1 er juillet au 31 octobre 2016. ![endif]&gt;![if&gt;</w:t>
      </w:r>
    </w:p>
    <w:p>
      <w:r>
        <w:rPr>
          <w:b/>
        </w:rPr>
        <w:t>E. 5</w:t>
      </w:r>
    </w:p>
    <w:p>
      <w:r>
        <w:t>Le recourant n’ayant reçu que des PCC, seules des questions de droit cantonal se posent en l’espèce.![endif]&gt;![if&gt;</w:t>
      </w:r>
    </w:p>
    <w:p>
      <w:r>
        <w:rPr>
          <w:b/>
        </w:rPr>
        <w:t>E. 5.1</w:t>
      </w:r>
    </w:p>
    <w:p>
      <w:r>
        <w:t>À teneur de l’art. 11 al. 1 LPCC, le bénéficiaire ou son représentant légal doit déclarer au service tout fait nouveau de nature à entraîner la modification du montant des prestations qui lui sont allouées ou leur suppression.![endif]&gt;![if&gt;</w:t>
      </w:r>
    </w:p>
    <w:p>
      <w:r>
        <w:rPr>
          <w:b/>
        </w:rPr>
        <w:t>E. 5.2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2).![endif]&gt;![if&gt;</w:t>
      </w:r>
    </w:p>
    <w:p>
      <w:r>
        <w:rPr>
          <w:b/>
        </w:rPr>
        <w:t>E. 5.3</w:t>
      </w:r>
    </w:p>
    <w:p>
      <w:r>
        <w:t>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 ![endif]&gt;![if&gt;</w:t>
      </w:r>
    </w:p>
    <w:p>
      <w:r>
        <w:rPr>
          <w:b/>
        </w:rPr>
        <w:t>E. 6</w:t>
      </w:r>
    </w:p>
    <w:p>
      <w:r>
        <w:t>![endif]&gt;![if&gt;</w:t>
      </w:r>
    </w:p>
    <w:p>
      <w:r>
        <w:rPr>
          <w:b/>
        </w:rPr>
        <w:t>E. 6.1</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w:t>
      </w:r>
    </w:p>
    <w:p>
      <w:r>
        <w:rPr>
          <w:b/>
        </w:rPr>
        <w:t>E. 6.2</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4).![endif]&gt;![if&gt;</w:t>
      </w:r>
    </w:p>
    <w:p>
      <w:r>
        <w:rPr>
          <w:b/>
        </w:rPr>
        <w:t>E. 6.3</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![endif]&gt;![if&gt;</w:t>
      </w:r>
    </w:p>
    <w:p>
      <w:r>
        <w:rPr>
          <w:b/>
        </w:rPr>
        <w:t>E. 6.4</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![endif]&gt;![if&gt;</w:t>
      </w:r>
    </w:p>
    <w:p>
      <w:r>
        <w:rPr>
          <w:b/>
        </w:rPr>
        <w:t>E. 7</w:t>
      </w:r>
    </w:p>
    <w:p>
      <w:r>
        <w:t>![endif]&gt;![if&gt;</w:t>
      </w:r>
    </w:p>
    <w:p>
      <w:r>
        <w:rPr>
          <w:b/>
        </w:rPr>
        <w:t>E. 7.1</w:t>
      </w:r>
    </w:p>
    <w:p>
      <w:r>
        <w:t>Les directives concernant les prestations complémentaires à l'AVS et à l'AI (ci-après : DPC), valables dès le 1 er avril 2011 (état au 1 er janvier 2022),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PC indues ont été acceptées en connaissance de leur caractère indu (DPC n° 4652.02).![endif]&gt;![if&gt;</w:t>
      </w:r>
    </w:p>
    <w:p>
      <w:r>
        <w:rPr>
          <w:b/>
        </w:rPr>
        <w:t>E. 7.2</w:t>
      </w:r>
    </w:p>
    <w:p>
      <w:r>
        <w:t>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 ![endif]&gt;![if&gt;</w:t>
      </w:r>
    </w:p>
    <w:p>
      <w:r>
        <w:rPr>
          <w:b/>
        </w:rPr>
        <w:t>E. 7.3</w:t>
      </w:r>
    </w:p>
    <w:p>
      <w:r>
        <w:t>À titre d’exemple, le Tribunal fédéral a retenu une négligence grave excluant toute bonne foi dans le cas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4.4).![endif]&gt;![if&gt;</w:t>
      </w:r>
    </w:p>
    <w:p>
      <w:r>
        <w:rPr>
          <w:b/>
        </w:rPr>
        <w:t>E. 8</w:t>
      </w:r>
    </w:p>
    <w:p>
      <w:r>
        <w:t>![endif]&gt;![if&gt;</w:t>
      </w:r>
    </w:p>
    <w:p>
      <w:r>
        <w:rPr>
          <w:b/>
        </w:rPr>
        <w:t>E. 8.1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w:t>
      </w:r>
    </w:p>
    <w:p>
      <w:r>
        <w:rPr>
          <w:b/>
        </w:rPr>
        <w:t>E. 8.2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w:t>
      </w:r>
    </w:p>
    <w:p>
      <w:r>
        <w:rPr>
          <w:b/>
        </w:rPr>
        <w:t>E. 9</w:t>
      </w:r>
    </w:p>
    <w:p>
      <w:r>
        <w:t>En l'occurrence, il convient d’examiner s’il peut être retenu que le recourant était de bonne foi au moment où il a reçu les prestations indues.![endif]&gt;![if&gt;</w:t>
      </w:r>
    </w:p>
    <w:p>
      <w:r>
        <w:rPr>
          <w:b/>
        </w:rPr>
        <w:t>E. 9.1</w:t>
      </w:r>
    </w:p>
    <w:p>
      <w:r>
        <w:t>Le recourant n'a pas transmis à l'intimé le courrier de C______ du 31 août 2015, l'informant que sa rente de retraite annuelle était finalement de CHF 12'350.40, soit un montant plus élevé que le montant provisoire initialement communiqué à l'intimé, ce qui constitue une négligence grave. Par ailleurs, la prise en compte du montant provisoire erroné de la rente de vieillesse pouvait être détectée par le recourant à la lecture des décisions de l'intimé, dès lors que les plans de calcul de ses prestations dès 2015, mentionnaient clairement, sous revenu déterminant « RENTES, INDEMNITES ET PENSION rente 2 ème pilier », le montant de CHF 11'919.-. Cela est d’autant plus vrai que le devoir de contrôle et d’annonce de l’assuré lui a été rappelé en décembre de chaque année par l’intimé. ![endif]&gt;![if&gt; Certes, l’attention et l'obligation de signaler une erreur sont moins strictes en présence d'une prestation complémentaire qui n'est que légèrement trop élevée, comme c'est le cas en l'espèce. Toutefois, dans le cas jurisprudentiel relevé par le Tribunal fédéral (arrêt du Tribunal fédéral 9C_385/2013 précité), l'autorité n'avait pas pris en compte une rente de vieillesse de faible montant qui avait initialement été signalée par la bénéficiaire, ce qui n'est pas le cas du recourant, lequel n'a pas communiqué à l'intimé le montant définitif de sa rente de vieillesse. Au vu de ces éléments, la condition de la bonne foi ne peut être reconnue au recourant.</w:t>
      </w:r>
    </w:p>
    <w:p>
      <w:r>
        <w:rPr>
          <w:b/>
        </w:rPr>
        <w:t>E. 9.2</w:t>
      </w:r>
    </w:p>
    <w:p>
      <w:r>
        <w:t>Compte tenu de la conclusion de l'intimé, la remise de l'obligation de restituer peut être admise à hauteur de CHF 876.-, ce montant correspondant à la part des PCC perçue en trop pour la période du 1 er juillet au 31 octobre 2016, en raison de la résidence de la fille du recourant chez celui-ci. ![endif]&gt;![if&gt;</w:t>
      </w:r>
    </w:p>
    <w:p>
      <w:r>
        <w:rPr>
          <w:b/>
        </w:rPr>
        <w:t>E. 10</w:t>
      </w:r>
    </w:p>
    <w:p>
      <w:r>
        <w:t>Partant, le recours sera partiellement admis dans ce sens.![endif]&gt;![if&gt;</w:t>
      </w:r>
    </w:p>
    <w:p>
      <w:r>
        <w:rPr>
          <w:b/>
        </w:rPr>
        <w:t>E. 11</w:t>
      </w:r>
    </w:p>
    <w:p>
      <w:r>
        <w:t>Pour le surplus, la procédure est gratuite (art. 61 let. fbis a contrario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