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A/2662/2025 vom 9. September 2025</w:t>
      </w:r>
    </w:p>
    <w:p>
      <w:r>
        <w:t>GE Cour de justice, 2025-09-09, FR</w:t>
      </w:r>
    </w:p>
    <w:p>
      <w:r>
        <w:rPr>
          <w:b/>
        </w:rPr>
        <w:t xml:space="preserve">Quelle: </w:t>
      </w:r>
      <w:r>
        <w:t>https://mcp.opencaselaw.ch/entscheid/ge_gerichte_A_2662_2025</w:t>
      </w:r>
    </w:p>
    <w:p>
      <w:r>
        <w:t>FR: GE_GERICHTE A/2662/2025 du 9 septembre 2025</w:t>
      </w:r>
    </w:p>
    <w:p>
      <w:r>
        <w:t>IT: GE_GERICHTE A/2662/2025 del 9 settembre 2025</w:t>
      </w:r>
    </w:p>
    <w:p>
      <w:pPr>
        <w:pStyle w:val="Heading2"/>
      </w:pPr>
      <w:r>
        <w:t>Erwägungen</w:t>
      </w:r>
    </w:p>
    <w:p>
      <w:r>
        <w:rPr>
          <w:b/>
        </w:rPr>
        <w:t>E. 1</w:t>
      </w:r>
    </w:p>
    <w:p>
      <w:r>
        <w:t>La chambre de céans examine d’office la recevabilité des recours qui lui sont soumis ( ATA/91/2023 du 31 janvier 2023 consid. 1 ; ATA/139/2021 du 9 février 2021 consid. 2).</w:t>
      </w:r>
    </w:p>
    <w:p>
      <w:r>
        <w:rPr>
          <w:b/>
        </w:rPr>
        <w:t>E. 1.1</w:t>
      </w:r>
    </w:p>
    <w:p>
      <w:r>
        <w:t>Selon l'art. 60 al. 1 de la loi sur la procédure administrative du 12 septembre 1985 (LPA - E 5 10),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rPr>
          <w:b/>
        </w:rPr>
        <w:t>E. 1.2</w:t>
      </w:r>
    </w:p>
    <w:p>
      <w:r>
        <w:t>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ATA/91/2023 précité consid. 3b et les références citées). L'intérêt à obtenir un jugement favorable doit être personnel, direct, immédiat et actuel ( ATA/1352/2020 du 22 décembre 2020 consid. 3d).</w:t>
      </w:r>
    </w:p>
    <w:p>
      <w:r>
        <w:rPr>
          <w:b/>
        </w:rPr>
        <w:t>E. 1.3</w:t>
      </w:r>
    </w:p>
    <w:p>
      <w:r>
        <w:t>L'intérêt digne de protection consiste dans l'utilité pratique que l'admission du recours apporterait à la partie recourante en lui évitant de subir un préjudice de nature économique, idéale, matérielle ou autre que la décision attaquée lui occasionnerait. Il implique que la partie recourante soit touchée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(ATF 143 III 578 consid. 3.2.2.2 ; 137 II 40 consid. 2.3).</w:t>
      </w:r>
    </w:p>
    <w:p>
      <w:r>
        <w:rPr>
          <w:b/>
        </w:rPr>
        <w:t>E. 2</w:t>
      </w:r>
    </w:p>
    <w:p>
      <w:r>
        <w:t>Les art. 12 et 13 de la loi fédérale sur la libre circulation des avocats du 23 juin 2000 (LLCA - RS 935.61) définissent exhaustivement les règles professionnelles applicables aux avocats (ATF 136 III 296 consid. 2.1 ; 131 I 223 consid. 3.4 ; 130 II 270 consid. 3.1). Il n'y a plus de place pour une règlementation cantonale divergente (ATF 130 II 270 consid. 3.1). Ces règles professionnelles sont des normes destinées à réglementer, dans l'intérêt public, la profession d'avocat, afin d'assurer son exercice correct et de préserver la confiance du public à leur égard (ATF 135 III 145 consid. 6.1). Les règles déontologiques ou us et coutumes qui émanent des associations professionnelles. ont une portée juridique limitée, dans la mesure où elles peuvent servir à interpréter et à préciser les règles professionnelles et où elles expriment une conception largement répandue au plan national (ATF 136 III 296 consid. 2.1). Il en va de même du droit cantonal (ATF 131 I 223 consid. 3.4 ; 130 II 270 consid. 3.1).</w:t>
      </w:r>
    </w:p>
    <w:p>
      <w:r>
        <w:rPr>
          <w:b/>
        </w:rPr>
        <w:t>E. 2.1</w:t>
      </w:r>
    </w:p>
    <w:p>
      <w:r>
        <w:t>La dénonciation est une procédure non contentieuse par laquelle n'importe quel administré peut attirer l'attention d'une autorité hiérarchiquement supérieure sur une situation de fait ou de droit qui justifierait à son avis une intervention de l'État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135 II 145 consid. 6.1 ; ATA/139/2021 précité consid. 3a ; ATA/1123/2020 du 10 novembre 2020 consid. 4c et les références citées).</w:t>
      </w:r>
    </w:p>
    <w:p>
      <w:r>
        <w:rPr>
          <w:b/>
        </w:rPr>
        <w:t>E. 2.2</w:t>
      </w:r>
    </w:p>
    <w:p>
      <w:r>
        <w:t>Aux termes de l'art. 48 LPAv, si la procédure a été ouverte sur une dénonciation, l'auteur de cette dernière est avisé de la suite qui y a été donnée. Il n'a pas accès au dossier ; la commission du barreau lui communique la sanction infligée et décide dans chaque cas de la mesure dans laquelle il se justifie de lui donner connaissance des considérants. La procédure de surveillance disciplinaire des avocats a pour but d'assurer l'exercice correct de la profession par les avocats et de préserver la confiance du public à leur égard et non de défendre les intérêts privés des particuliers (ATF 138 II 162 consid. 2.1.2 ; ATA/91/2023 précité consid. 3d ; ATA/139/2021 précité consid. 3a). Dans les procédures disciplinaires engagées contre des personnes exerçant une profession réglementée, le dénonciateur ou le plaignant n'est donc pas partie à la procédure ( ATA/91/2023 précité consid. 3d ; ATA/841/2019 du 30 avril 2019 et les références citées). Celui qui introduit une procédure disciplinaire ne possède aucun droit à une décision, de sorte que, s'il n'y est pas donné suite, il n'est pas atteint dans ses intérêts personnels. Par conséquent, le refus de donner suite à une dénonciation ne peut pas faire l'objet d'aucun recours, puisque le dénonciateur n'agit dans ce cadre que comme auxiliaire de l'autorité en déclenchant la procédure (ATF 135 II 145 consid. 6.1 ; ATA/1123/2020 précité consid. 4c). Le fait que la décision de la commission du barreau soit susceptible d'avoir une incidence sur une procédure à laquelle le dénonciateur est partie ne permet pas non plus de considérer que celui‑ci est directement touché dans ses droits et obligations ( ATA/1123/2020 précité consid. 4c ; ATA/316/2020 du 30 avril 2020 consid. 4). De jurisprudence constante, la chambre de céans considère ainsi que le client qui dénonce son avocat à la commission du barreau pour des manquements professionnels supposés ne dispose pas de la qualité pour recourir contre la décision de classement (pour des exemples récents ATA/1318/2024 du 12 novembre 2024 ; ATA/622/2023 du 13 juin 2023 ; ATA/91/2023 du 31 janvier 2023 ; ATA/238/2022 du 8 mars 2022).</w:t>
      </w:r>
    </w:p>
    <w:p>
      <w:r>
        <w:rPr>
          <w:b/>
        </w:rPr>
        <w:t>E. 2.3</w:t>
      </w:r>
    </w:p>
    <w:p>
      <w:r>
        <w:t>En l'espèce, le recourant se trouve dans la position du dénonciateur, et la cause n'a pas pour objet une décision de la commission du barreau portant sur l'existence ou non d'un conflit d'intérêts actuel d'un avocat avec son mandant ou sa partie adverse, soit sur une question ayant une incidence directe sur la conduite d'un mandat en cours conduit par l'avocat concerné. Elle a pour objet le respect par un avocat de ses obligations de diligence découlant des art. 12 et 13 LLCA. Ainsi, conformément à la jurisprudence précitée, la qualité pour recourir doit être déniée au dénonciateur, dès lors qu'il n'a pas un intérêt propre et digne de protection à demander le prononcé d'une sanction disciplinaire pour d'éventuelles violations des obligations professionnelles. De surcroît, la procédure de surveillance disciplinaire des avocats n'a pas pour but la défense des intérêts privés du recourant, mais d'assurer l'exercice correct de la profession d'avocat. Le recourant, en qualité de dénonciateur, n'étant pas directement atteint par la décision de classement attaquée ne peut faire valoir aucun intérêt digne de protection particulier lui accordant la qualité pour recourir contre celle-ci. Ainsi, au vu de ce qui précède, le recours est manifestement irrecevable, ce qui peut être constaté sans échange d’écritures (art. 72 LPA).</w:t>
      </w:r>
    </w:p>
    <w:p>
      <w:r>
        <w:rPr>
          <w:b/>
        </w:rPr>
        <w:t>E. 3</w:t>
      </w:r>
    </w:p>
    <w:p>
      <w:r>
        <w:t>Vu l’issue du litige, un émolument de CHF 500.- sera mis à la charge du recourant,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