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A/265/2010 vom 5. März 2009</w:t>
      </w:r>
    </w:p>
    <w:p>
      <w:r>
        <w:t>GE Cour de justice, 2009-03-05, FR</w:t>
      </w:r>
    </w:p>
    <w:p>
      <w:r>
        <w:rPr>
          <w:b/>
        </w:rPr>
        <w:t xml:space="preserve">Quelle: </w:t>
      </w:r>
      <w:r>
        <w:t>https://mcp.opencaselaw.ch/entscheid/ge_gerichte_A_265_2010</w:t>
      </w:r>
    </w:p>
    <w:p>
      <w:r>
        <w:t>FR: GE_GERICHTE A/265/2010 du 5 mars 2009</w:t>
      </w:r>
    </w:p>
    <w:p>
      <w:r>
        <w:t>IT: GE_GERICHTE A/265/2010 del 5 marzo 2009</w:t>
      </w:r>
    </w:p>
    <w:p>
      <w:pPr>
        <w:pStyle w:val="Heading2"/>
      </w:pPr>
      <w:r>
        <w:t>Erwägungen</w:t>
      </w:r>
    </w:p>
    <w:p>
      <w:r>
        <w:rPr>
          <w:b/>
        </w:rPr>
        <w:t>E. 6</w:t>
      </w:r>
    </w:p>
    <w:p>
      <w:r>
        <w:t>Ainsi, la prestation acquise pendant le mariage par le demandeur est de 11'523 fr. 55 (509 fr 60 + 157 fr. 65 + 10'891 fr 30 - 35 fr. [31 fr + intérêts du 14.05.2004 jusqu’au 28.04.2009]) et celle de la demanderesse est nulle. Ces documents ont été transmis aux parties en date des 4 février, 21 mai et 15 juin 2010. Par courrier du 15 juin 2010, la juridiction leur a indiqué qu'à défaut d'observations d'ici au 2 juillet 2010, un arrêt serait rendu sur ces bases. Dans le même délai, la demanderesse a été invitée à ouvrir un compte de libre passage et à en communiquer les coordonnées au Tribunal, à défaut de quoi son avoir sera versé auprès de l’institution supplétive LPP.</w:t>
      </w:r>
    </w:p>
    <w:p>
      <w:r>
        <w:rPr>
          <w:b/>
        </w:rPr>
        <w:t>E. 7</w:t>
      </w:r>
    </w:p>
    <w:p>
      <w:r>
        <w:t>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31 fr existant au 14 mai 2004 se montent à 4 fr. En l’espèce, le juge de première instance a ordonné le partage par moitié des prestations de sortie acquises durant le mariage par les demandeurs. Les dates pertinentes sont, d’une part, celle du mariage, le 14 mai 2004, d’autre part le 28 avril 2009, date à laquelle le jugement de divorce est devenu exécutoire. Selon les documents produits, la prestation acquise pendant le mariage par le demandeur est de 11'523 fr. 55 tandis que celle acquise par la demanderesse est nulle, les intérêts ayant déjà été calculés par les institutions de prévoyance défenderesses. Ainsi le demandeur doit à son ex-épouse le montant de 5’761 fr. 80 (11'523 fr. 55 : 2) et celle-ci ne doit à celui-là aucun montant, de sorte que c’est le demandeur qui doit à la demanderesse le montant de 5'761 fr 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