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A/2658/2023 vom 5. März 2024</w:t>
      </w:r>
    </w:p>
    <w:p>
      <w:r>
        <w:t>GE Cour de justice, 2024-03-05, FR</w:t>
      </w:r>
    </w:p>
    <w:p>
      <w:r>
        <w:rPr>
          <w:b/>
        </w:rPr>
        <w:t xml:space="preserve">Quelle: </w:t>
      </w:r>
      <w:r>
        <w:t>https://mcp.opencaselaw.ch/entscheid/ge_gerichte_A_2658_2023</w:t>
      </w:r>
    </w:p>
    <w:p>
      <w:r>
        <w:t>FR: GE_GERICHTE A/2658/2023 du 5 mars 2024</w:t>
      </w:r>
    </w:p>
    <w:p>
      <w:r>
        <w:t>IT: GE_GERICHTE A/2658/2023 del 5 marzo 2024</w:t>
      </w:r>
    </w:p>
    <w:p>
      <w:pPr>
        <w:pStyle w:val="Heading2"/>
      </w:pPr>
      <w:r>
        <w:t>Erwägungen</w:t>
      </w:r>
    </w:p>
    <w:p>
      <w:r>
        <w:rPr>
          <w:b/>
        </w:rPr>
        <w:t>E. 5</w:t>
      </w:r>
    </w:p>
    <w:p>
      <w:r>
        <w:t>En l’espèce, dans la décision querellée, le PCTN mentionne uniquement que le recourant a subi un retrait de son permis de conduire en raison d’une infraction grave aux règles de la circulation routière en application de l’art. 16 c LCR. L’infraction commise et les circonstances dans lesquelles elle a été commise ne sont pas mentionnées. L’état de fait ne mentionne pas non plus les antécédents de l’intéressé ou d’autres circonstances pourtant nécessaires à l’examen auquel l’autorité intimée aurait dû procéder. La décision retient uniquement que l’infraction grave rendue en application de l’art. 16c LCR entre dans la catégorie des décisions incompatibles avec l’exercice de la profession au sens de l’art. 7 al. 3 let. e LTVTC, ce qui n’est d’ailleurs pas contesté en l’espèce. En revanche, la motivation concernant les autres circonstances, dont le recourant s’est en partie prévalu dans ses observations, est inexistante. Comme l’a exposé le PCTN dans ses écritures, il a prononcé la révocation de manière automatique en présence d’une infraction mentionnée à l’art. 6 al. 2 let. b RTVTC, puisqu’il estimait être privé de pouvoir d’appréciation dans ce cas. Comme vu ci-dessus, cette pratique est contraire à la loi (art. 7 al. 3 let. e et al. 5 LTVTC cum art. 6 al. 2 let. b et al. 3 RTVTC) puisqu’elle relève d’un excès négatif du pouvoir d’appréciation. Le PCTN ne pouvait se fonder sur la condamnation de l’OCV pour révoquer son autorisation d’exercer sans examiner si celle-ci était effectivement incompatible avec l’exercice de la profession de chauffeur dans les circonstances d’espèce. Par conséquent, la décision querellée doit être annulée et le dossier renvoyé au PCTN pour instruction complémentaire et nouvelle décision. Au vu de ce qui précède, le recours sera admis partiellement.</w:t>
      </w:r>
    </w:p>
    <w:p>
      <w:r>
        <w:rPr>
          <w:b/>
        </w:rPr>
        <w:t>E. 6</w:t>
      </w:r>
    </w:p>
    <w:p>
      <w:r>
        <w:t>Vu cette issue, aucun émolument ne sera perçu (art. 87 al. 1 LPA). Une indemnité de procédure de CHF 500.-, au vu de l’existence de plusieurs causes parallèles (arrêts du Tribunal fédéral du 21 février 2019 8D_2/2018 consid. 8 et 8D_3/2018 et 8D_4/2018 ; 4A_91/2010 du 29 juin 2010), sera allouée au recourant, qui y a conclu,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