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A/2654/2023 vom 8. Oktober 2024</w:t>
      </w:r>
    </w:p>
    <w:p>
      <w:r>
        <w:t>GE Cour de justice, 2024-10-08, FR</w:t>
      </w:r>
    </w:p>
    <w:p>
      <w:r>
        <w:rPr>
          <w:b/>
        </w:rPr>
        <w:t xml:space="preserve">Quelle: </w:t>
      </w:r>
      <w:r>
        <w:t>https://mcp.opencaselaw.ch/entscheid/ge_gerichte_A_2654_2023</w:t>
      </w:r>
    </w:p>
    <w:p>
      <w:r>
        <w:t>FR: GE_GERICHTE A/2654/2023 du 8 octobre 2024</w:t>
      </w:r>
    </w:p>
    <w:p>
      <w:r>
        <w:t>IT: GE_GERICHTE A/2654/2023 del 8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sollicitent une audience de comparution personnelle des parties aux fins d’expliquer les projets personnels et professionnels notamment de leurs enfants.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(art. 41 LPA) ni à celle de témoins (ATF 140 I 285 consid. 6.3.1).</w:t>
      </w:r>
    </w:p>
    <w:p>
      <w:r>
        <w:rPr>
          <w:b/>
        </w:rPr>
        <w:t>E. 2.2</w:t>
      </w:r>
    </w:p>
    <w:p>
      <w:r>
        <w:t>En l’espèce, les recourants ont versé de très nombreuses pièces au dossier et fourni des explications détaillées tant devant l’OCPM que devant le TAPI. Ils ont actualisé notamment leurs pièces devant la chambre de céans y compris dans le cadre de leur réplique où ils ont produit l’attestation de la pédiatre des enfants. Les besoins en personnel infirmier et la motivation d’E______ pour une telle formation ne sont pas contestés. Les projets personnels et professionnels de C______ et D______ ne sont en l’état pas déterminants pour l’issue de la présente procédure, au vu de leur scolarité, respectivement en 2 e ECG depuis août 2024 et en primaire. Une audience de comparution personnelle des parties n’est en conséquence pas nécessaire, étant rappelé qu’il n’existe pas de droit, en application de l’art. 41 LPA, à la tenue d’une telle audience.</w:t>
      </w:r>
    </w:p>
    <w:p>
      <w:r>
        <w:rPr>
          <w:b/>
        </w:rPr>
        <w:t>E. 3</w:t>
      </w:r>
    </w:p>
    <w:p>
      <w:r>
        <w:t>Le litige porte sur la conformité au droit du jugement confirmant la décision de l’OCPM de refuser de transmettre au SEM le dossier des recourants avec un préavis favorable, et prononçant leur renvoi de Suisse.</w:t>
      </w:r>
    </w:p>
    <w:p>
      <w:r>
        <w:rPr>
          <w:b/>
        </w:rPr>
        <w:t>E. 3.1</w:t>
      </w:r>
    </w:p>
    <w:p>
      <w:r>
        <w:t>Le 1 er janvier 2019 est entrée en vigueur une modification de la loi fédérale sur les étrangers (LEtr - RS 142.20) et de l’ordonnance relative à l’admission, au séjour et à l’exercice d’une activité lucrative du 24 octobre 2007 (OASA - RS 142.201). Conformément à l’art. 126 al. 1 LEI, les demandes déposées, comme en l’espèce, avant le 1 er janvier 2019 pour la demande en lien avec l’opération Papyrus, sont régies par l’ancien droit (arrêt du Tribunal fédéral 2C_1075/2019 du 21 avril 2020 consid. 1.1).</w:t>
      </w:r>
    </w:p>
    <w:p>
      <w:r>
        <w:rPr>
          <w:b/>
        </w:rPr>
        <w:t>E. 3.2</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janvier 2021 [ci-après : directives LEI] ch. 5.6.12).</w:t>
      </w:r>
    </w:p>
    <w:p>
      <w:r>
        <w:rPr>
          <w:b/>
        </w:rPr>
        <w:t>E. 3.3</w:t>
      </w:r>
    </w:p>
    <w:p>
      <w:r>
        <w:t>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a pris fin le 31 décembre 2018. Ces conditions devaient être remplies au moment du dépôt de la demande d’autorisation de séjour ( ATA/121/2021 du 2 février 2021 consid. 8b).</w:t>
      </w:r>
    </w:p>
    <w:p>
      <w:r>
        <w:rPr>
          <w:b/>
        </w:rPr>
        <w:t>E. 3.4</w:t>
      </w:r>
    </w:p>
    <w:p>
      <w:r>
        <w:t>En l’espèce, le recourant a formulé sa demande de régularisation le 30 juillet 2018, soit alors que l’opération Papyrus était encore en cours. Il se prévaut du fait qu’il remplit tous les critères posés par cette opération. Il ressort toutefois de ses déclarations à la police du 6 octobre 2022, qu’il serait arrivé en Suisse pour la première fois en avril 2009, avant de repartir pour le Kosovo en décembre 2009. Il est revenu en février 2010 pour regagner à nouveau son pays d’origine en 2011. Il a, à nouveau, séjourné en Suisse d’août 2012 avant de retourner au Kosovo en 2013. Enfin, il est revenu en février 2014, puis reparti dans sa patrie en fin d’année 2015, avant de revenir en Suisse en janvier ou février 2016. Après la décision de renvoi du 15 janvier 2018, il est parti au Kosovo mais est revenu ultérieurement en Suisse. Il en résulte que le recourant ne remplit pas la condition nécessaire et cumulative d’avoir séjourné à Genève de manière continue pendant dix ans avant le dépôt de sa requête Papyrus. Sa femme et ses enfants n’étant venus en Suisse qu’en juillet 2019, soit une fois l’opération Papyrus terminée, l’intéressé ne peut pas se voir appliquer le délai de cinq ans prévu pour les familles avec enfants scolarisés. C’est en conséquence à bon droit que l’OCPM a rejeté la demande de régularisation au titre de l’opération Papyrus.</w:t>
      </w:r>
    </w:p>
    <w:p>
      <w:r>
        <w:rPr>
          <w:b/>
        </w:rPr>
        <w:t>E. 4</w:t>
      </w:r>
    </w:p>
    <w:p>
      <w:r>
        <w:t>L’épouse et les enfants ont déposé une demande pour cas de rigueur le 23 janvier 2023, laquelle est soumise au nouveau droit.</w:t>
      </w:r>
    </w:p>
    <w:p>
      <w:r>
        <w:rPr>
          <w:b/>
        </w:rPr>
        <w:t>E. 4.1</w:t>
      </w:r>
    </w:p>
    <w:p>
      <w:r>
        <w:t>L’art. 30 al. 1 let. b LEI permet de déroger aux conditions d’admission en Suisse, telles que prévues aux art. 18 à 29 LEI, notamment aux fins de tenir compte des cas individuels d’une extrême gravité ou d’intérêts publics majeurs.</w:t>
      </w:r>
    </w:p>
    <w:p>
      <w:r>
        <w:rPr>
          <w:b/>
        </w:rPr>
        <w:t>E. 4.2</w:t>
      </w:r>
    </w:p>
    <w:p>
      <w:r>
        <w:t>L’art. 31 al. 1 de l’ordonnance relative à l’admission, au séjour et à l’exercice d’une activité lucrative du 24 octobre 2007 (OASA - RS 142.201)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Les art. 77a ss OASA concrétisent ces critères d’intégration (ATF 148 II 1 consid. 2.2).</w:t>
      </w:r>
    </w:p>
    <w:p>
      <w:r>
        <w:rPr>
          <w:b/>
        </w:rPr>
        <w:t>E. 4.3</w:t>
      </w:r>
    </w:p>
    <w:p>
      <w:r>
        <w:t>En vertu de l’art. 77a OASA, il y a notamment non-respect de la sécurité et de l’ordre publics au sens de l’art. 58a al. 1 LEI lorsque la personne concernée viole des prescriptions légales ou des décisions d’une autorité. Selon la jurisprudence rendue sous l’empire de l’ancien droit qui garde sa pertinence pour l’interprétation du nouveau droit (arrêt du Tribunal fédéral 2C_342/2021 du 20 septembre 2021 consid. 6.2), des condamnations pénales mineures n’excluent pas forcément d’emblée la réalisation de l’intégration (arrêts du Tribunal fédéral 2C_935/2021 du 28 février 2022 consid. 5.1.2 ; 2C_342/2021 du 20 septembre 2021 consid. 6.2 ; 2C_541/2019 du 22 janvier 2020 consid. 3.4.1 et les arrêts cités). 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2C_935/2021 du 28 février 2022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2C_935/2021 du 28 février 2022 consid. 5.1.2 ; 2C_725/2019 du 12 septembre 2019 consid. 7.2 et les arrêts cités). L’absence de liens sociaux très étroits en Suisse n’exclut pas non plus d’emblée l’existence d’une intégration réussie, de même que l’absence de vie associative (arrêts du Tribunal fédéral 2C_935/2021 du 28 février 2022 consid. 5.1.2 ; 2C_642/2020 du 16 novembre 2020 consid. 5.2 et l’arrêt cité). La jurisprudence a précisé que l’évaluation de l’intégration d’un étranger devait s’examiner à l’aune d’une appréciation globale des circonstances (arrêt du Tribunal fédéral 2C_342/2021 du 20 septembre 2021 et les références citées). Dans l’examen de ces critères d’intégration, les autorités compétentes disposent d’un large pouvoir d’appréciation (arrêt du Tribunal fédéral 2C_385/2016 du 4 octobre 2016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4.4</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TAF C_3592/2010 du 8 octobre 2012 consid. 6.2 ; ATA/434/2020 du 31 avril 2020 consid. 10).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rPr>
          <w:b/>
        </w:rPr>
        <w:t>E. 4.5</w:t>
      </w:r>
    </w:p>
    <w:p>
      <w:r>
        <w:t>En l’espèce, le recourant a reconnu avoir voulu tromper l’OCPM pour obtenir un permis de séjour. Il a produit de faux documents à l’intimé en vue de régulariser sa situation et a récemment fait l’objet d’une ordonnance de condamnation de 180 jours amende. Celle-ci n’est pas anodine, puisqu’elle a directement trait à l’un des critères permettant de retenir une intégration sociale réussie, à savoir le respect de l’ordre public. Or, le recourant, en produisant de faux relevés de salaire, a – quoi qu'il en dise – cherché à induire en erreur les autorités en vue d’obtenir un titre de séjour. Ce comportement dénote un mépris certain pour les institutions du pays. Il a par ailleurs tenu des propos contradictoires notamment sur sa date d’arrivée en Suisse et a caché avoir déposé une demande d’asile en France. Si le recourant est, certes, indépendant financièrement, n’a pas recouru à l’aide sociale et n’a pas de dettes, de tels éléments ne suffisent pas pour retenir l’existence d’une intégration socio-professionnelle particulièrement réussie. Bien qu’indépendant économiquement, il travaille dans le secteur de la construction et ne peut se prévaloir d’une ascension professionnelle remarquable au sens de la jurisprudence, ce qu’il ne conteste d’ailleurs pas. Il bénéficie de quelques attestations, louant son intégration et ses qualités. Leur portée doit toutefois être relativisée, les documents présentant un texte type, dactylographié, identique sur au moins trois documents et émanant tous de voisins. Il n’allègue pas s’être investi dans une association culturelle ou sportive notamment. Pour le surplus, les possibilités de réintégration dans son pays d’origine sont bonnes. Il y a grandi, y est régulièrement retourné plusieurs mois selon ses propres déclarations. Sa femme et ses enfants y ont vécu jusqu’en 2019. Il est en bonne santé et pourra faire valoir les connaissances professionnelles et linguistiques acquises en Suisse, étant toutefois relevé qu’alors qu’il revendique avoir vécu en Suisse depuis 2009, il ne possède en français qu’un niveau A1, récemment obtenu, à l’oral. Les conditions d’un cas de rigueur ne sont en conséquence pas remplies pour le recourant. La recourante et ses enfants sont arrivés en Suisse 2019, sans autorisation et y ont séjourné illégalement pendant plus de trois ans avant de solliciter une autorisation de séjour. La durée de leur séjour en Suisse de six ans peut être qualifiée de relativement longue, s’agissant de l’épouse et des enfants du requérant. Elle doit cependant être relativisée au vu de son caractère non autorisé. L’épouse ne travaille pas et ne fait en conséquence pas l’objet d’une intégration professionnelle. L’intéressée prouve avoir un niveau de français à l’oral A1, voire, selon l’attestation de H______ A2, pour la communication et la compréhension orale. Elle a certes participé au conseil des habitants de I______ les 23 septembre, 14 octobre, 18 novembre et 9 décembre 2023 dans le cadre d’un projet du bureau de l’intégration. Ce seul élément ne permet toutefois pas de considérer qu’elle bénéficie d’une intégration sociale suffisante pour satisfaire aux conditions d’un cas de rigueur. S’agissant des possibilités de réintégration, la recourante a vécu 37 ans au Kosovo, y a suivi sa scolarité, vécu l’intégralité de son adolescence, soit les années jugées cruciales et déterminantes pour la formation de sa personnalité. Elle y a construit sa famille et éduqué ses enfants jusqu’en 2019. L’analyse faite par le TAPI de la situation de chacun des enfants est détaillée et conforme aux exigences légales et jurisprudentielles. Elle est reprise dans la partie en fait du présent arrêt. Il peut y être renvoyé. Les enfants auront vécu près de six ans en Suisse, notamment, s’agissant d’E______ et C______, pendant leur adolescence. Leurs résultats scolaires sont bons et malgré quelques absences non excusées pour C______, leur attitude et comportement ne font pas l’objet de critiques. Certes la jurisprudence précitée relève qu’une adolescence en Suisse entraine une intégration accrue dans un milieu déterminé. Il ne ressort toutefois pas du dossier qu’ils se soient investis dans la vie de la cité notamment dans des clubs sportifs ou toute autre association ou groupe de jeunes. Aucune pièce au dossier, autre que leur parcours scolaire, ne fait mention d’amis, d’activités partagées, de loisirs en commun ou d’une intégration quelconque. Les quelques attestations produites n’évoquent que l’intégration de leur père. Il n’est dès lors pas démontré qu’ils se soient créés des liens amicaux si profonds en Suisse qu’il ne puisse être envisagé qu’ils retournent au Kosovo, où ils ont vécu quatorze années pour E______ et onze ans pour C______. Les enfants ont commencé leur scolarité au Kosovo, en connaissent les us et coutumes et en parlent la langue. Si certes D______ a vécu plus longtemps en Suisse (six ans) qu’au Kosovo (presque trois ans), son jeune âge (bientôt 8 ans) lui permettra de s’adapter rapidement au Kosovo, entouré de ses parents et de sa fratrie. Les recourants ont encore de la famille dans leur pays d’origine, une demande de visa ayant été formulée dans ce sens en juillet 2021. Les enfants sont en bonne santé et pourront faire valoir au Kosovo les compétences, notamment linguistiques, acquises en Suisse. E______ a fini sa scolarité à l’ECG et est dans l’attente de commencer une formation professionnelle. Il n’est pas allégué ni a fortiori démontré qu’il ne pourrait pas réaliser ses projets dans le domaine médical dans sa patrie d’origine. Le fait que la Suisse soit en manque de personnel infirmier n’est pas un critère qui permet à lui seul de considérer que les conditions, strictes, d’un cas de rigueur soient remplies. C______ a commencé sa seconde année à l’ECG. À l’instar d’D______, ils pourront poursuivre leur formation au Kosovo. En conséquence, leur intégration au milieu socioculturel suisse n’est pas si profonde et irréversible qu’un retour dans leur patrie constituerait un déracinement complet. Le critère jurisprudentiel de la possibilité de poursuivre ou d’exploiter, dans le pays d’origine, la scolarisation ou la formation professionnelle entamée en Suisse permet de considérer que si, certes, les enfants ont réussi à s’intégrer au niveau scolaire, le renvoi décidé par l’OCPM dans le cadre d’une analyse globale de la famille, comme l’impose la loi, n’est pas incompatible et inexigible de la part des enfants qui pourront poursuivre leur cursus scolaire au Kosovo. Enfin, même à considérer qu’à teneur de la jurisprudence, l’appréciation de la situation de C______ devrait tendre à l’octroi d’une autorisation de séjour en sa faveur, la situation globale de la famille ne permet pas de considérer que l’OCPM aurait abusé de son pouvoir d’appréciation compte tenu de l’intégration très limitée des parents, tant sur le plan professionnel, linguistique que socioculturel, et surtout de la condamnation pénale, définitive, du père pour des faits graves en lien avec la procédure d’autorisation de séjour. Ainsi, au vu de tous les critères pertinents, pour chacun des recourants, c’est sans violer le droit, ni abuser de son large pouvoir d’appréciation, que l’autorité intimée a refusé de délivrer une autorisation de séjour aux recourants et à leurs trois enfants. Le grief de violation de l’art. 30 al. 1 let. e LEI sera rejeté, étant précisé que les recourants ne peuvent se prévaloir de l’art. 8 CEDH, aucun membre de la famille, n’ayant de droit de séjour en Suisse. Enfin, conformément aux considérants qui précèdent, l’analyse différenciée selon l’âge des enfants réalise la prise en compte de leur intérêt supérieur, telle qu’elle est prescrite par l’art. 3 al. 1 CDE.</w:t>
      </w:r>
    </w:p>
    <w:p>
      <w:r>
        <w:rPr>
          <w:b/>
        </w:rPr>
        <w:t>E. 5</w:t>
      </w:r>
    </w:p>
    <w:p>
      <w:r>
        <w:t>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En l’espèce, rien ne permet de retenir que l’exécution du renvoi des recourants ne serait pas possible, licite ou raisonnement exigible. Dans ces circonstances, la décision querellée est conforme au droit. Mal fondé, le recours sera donc rejeté.</w:t>
      </w:r>
    </w:p>
    <w:p>
      <w:r>
        <w:rPr>
          <w:b/>
        </w:rPr>
        <w:t>E. 6</w:t>
      </w:r>
    </w:p>
    <w:p>
      <w:r>
        <w:t>Vu l’issue, un émolument de CHF 400.- sera mis à la charge des recourants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