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A/2648/2022 vom 13. Februar 2024</w:t>
      </w:r>
    </w:p>
    <w:p>
      <w:r>
        <w:t>GE Cour de justice, 2024-02-13, FR</w:t>
      </w:r>
    </w:p>
    <w:p>
      <w:r>
        <w:rPr>
          <w:b/>
        </w:rPr>
        <w:t xml:space="preserve">Quelle: </w:t>
      </w:r>
      <w:r>
        <w:t>https://mcp.opencaselaw.ch/entscheid/ge_gerichte_A_2648_2022</w:t>
      </w:r>
    </w:p>
    <w:p>
      <w:r>
        <w:t>FR: GE_GERICHTE A/2648/2022 du 13 février 2024</w:t>
      </w:r>
    </w:p>
    <w:p>
      <w:r>
        <w:t>IT: GE_GERICHTE A/2648/2022 del 13 febbraio 2024</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1.2</w:t>
      </w:r>
    </w:p>
    <w:p>
      <w:r>
        <w:t>À teneur de l’art. 1 al. 1 LAI, les dispositions de la LPGA s’appliquent à l’assurance-invalidité (ci-après : AI), à moins que la loi n’y déroge expressément.![endif]&gt;![if&gt;</w:t>
      </w:r>
    </w:p>
    <w:p>
      <w:r>
        <w:rPr>
          <w:b/>
        </w:rPr>
        <w:t>E. 1.3</w:t>
      </w:r>
    </w:p>
    <w:p>
      <w:r>
        <w:t>La procédure devant la chambre de céans est régie par les dispositions de la LPGA et de la loi sur la procédure administrative, du 12 septembre 1985 (LPA ‑ E 5 10).![endif]&gt;![if&gt;</w:t>
      </w:r>
    </w:p>
    <w:p>
      <w:r>
        <w:rPr>
          <w:b/>
        </w:rPr>
        <w:t>E. 1.4</w:t>
      </w:r>
    </w:p>
    <w:p>
      <w:r>
        <w:t>Le délai de recours est de 30 jours (art. 60 al. 1 LPGA ; art. 62 al. 1 LPA). Lorsque le délai échoit un samedi, un dimanche ou un jour férié selon le droit fédéral ou cantonal, son terme est reporté au premier jour ouvrable qui suit (art. 38 al. 3 LPGA et 17 al. 3 LPA).![endif]&gt;![if&gt;</w:t>
      </w:r>
    </w:p>
    <w:p>
      <w:r>
        <w:rPr>
          <w:b/>
        </w:rPr>
        <w:t>E. 1.5</w:t>
      </w:r>
    </w:p>
    <w:p>
      <w:r>
        <w:t>Datée du 17 juin 2022, la décision litigieuse a été reçue le 20 juin 2022. Ayant commencé à courir le 21 juin 2022, le délai de recours a été suspendu du 15 juillet au 15 août 2022 (art. 38 al. 4 let. b LPGA, applicable par renvoi de l’art. 60 al. 2 LPGA) et est arrivé à échéance le 22 août 2022, le dernier jour du délai tombant sur un dimanche (21 août 2022). Posté le 22 août 2022, le recours a été interjeté en temps utile. Celui-ci respecte également les exigences de forme prévues par l’art. 61 let. b LPGA ( cf . aussi l’art. 89B LPA), de sorte qu’il est recevable.![endif]&gt;![if&gt;</w:t>
      </w:r>
    </w:p>
    <w:p>
      <w:r>
        <w:rPr>
          <w:b/>
        </w:rPr>
        <w:t>E. 2</w:t>
      </w:r>
    </w:p>
    <w:p>
      <w:r>
        <w:t>Le 1 er janvier 2022, les modifications de la LAI et de la LPGA du 19 juin 2020 (développement continu de l’AI ; RO 2021 705), y compris les ordonnances correspondantes, sont entrées en vigueur.![endif]&gt;![if&gt;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Dans les cas de révision selon l’art. 17 LPGA, conformément aux principes généraux du droit intertemporel ( cf .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 er janvier 2022 sont applicables. La date pertinente de la modification est déterminée par l’art. 88 a RAI ; arrêts du Tribunal fédéral 8C_55/2023 du 11 juillet 2023 consid. 2.2 ; 8C_644/2022 du 8 février 2023 consid. 2.2.3). En l’occurrence, la décision litigieuse a certes été rendue après le 1 er janvier 2022. Toutefois, la question litigieuse est de savoir si un motif de révision est survenu, selon l’art. 88 a RAI, à compter du 1 er novembre 2020, de sorte que les dispositions applicables seront citées dans la teneur qui était la leur avant le 1 er janvier 2022.</w:t>
      </w:r>
    </w:p>
    <w:p>
      <w:r>
        <w:rPr>
          <w:b/>
        </w:rPr>
        <w:t>E. 3</w:t>
      </w:r>
    </w:p>
    <w:p>
      <w:r>
        <w:t>Le litige porte d’une part sur le dies a quo des rentes pour enfant de D______, E______ et F______, liées à celles de leur père, et d’autre part sur la question de savoir si ce dernier a droit à une rente d’invalidité au-delà du 31 octobre 2020.![endif]&gt;![if&gt;</w:t>
      </w:r>
    </w:p>
    <w:p>
      <w:r>
        <w:rPr>
          <w:b/>
        </w:rPr>
        <w:t>E. 4</w:t>
      </w:r>
    </w:p>
    <w:p>
      <w:r>
        <w:t>![endif]&gt;![if&gt;</w:t>
      </w:r>
    </w:p>
    <w:p>
      <w:r>
        <w:rPr>
          <w:b/>
        </w:rPr>
        <w:t>E. 4.1</w:t>
      </w:r>
    </w:p>
    <w:p>
      <w:r>
        <w:t>L’art. 17 al. 1 LPGA dispose que si le taux d’invalidité du bénéficiaire de la rente subit une modification notable, la rente est, d’office ou sur demande, révisée pour l’avenir, à savoir augmentée ou réduite en conséquence, ou encore supprimée.![endif]&gt;![if&gt;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 a RAI, si la capacité de gain d’un assuré s’améliore, il y a lieu de considérer que ce changement supprime, le cas échéant, tout ou partie de son droit aux prestations dès que l’on peut s’attendre à ce que l’amélioration constatée se maintienne durant une assez longue période ;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 bis RAI est applicable par analogie (al. 2). Selon l’art. 29 bis RAI, si la rente a été supprimée du fait de l’abaissement du degré d’invalidité et que l’assuré, dans les trois ans qui suivent, présente à nouveau un degré d’invalidité ouvrant le droit à une rente en raison d’une incapacité de travail de même origine, on déduira de la période d’attente que lui imposerait l’art. 28 al. 1 let. b LAI, celle qui a précédé le premier octroi.</w:t>
      </w:r>
    </w:p>
    <w:p>
      <w:r>
        <w:rPr>
          <w:b/>
        </w:rPr>
        <w:t>E. 4.2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112 V 371 consid. 2b ; 112 V 387 consid. 1b). Un motif de révision au sens de l’art. 17 LPGA doit clairement ressortir du dossier (arrêt du Tribunal fédéral des assurances I 559/02 du 31 janvier 2003 consid. 3.2).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l’AI, le point de départ d’une modification du droit aux prestations est fixé avec précision. En cas de modification de la capacité de gain, la rente doit être supprimée ou réduite avec effet immédiat si la modification paraît durable et par conséquent stable (phr. 1 de l’art. 88 a al. 1 RAI) ; on attendra en revanche trois mois au cas où le caractère évolutif de l’atteinte à la santé, notamment la possibilité d’une aggravation, ne permettrait pas un jugement immédiat (phr. 2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w:t>
      </w:r>
    </w:p>
    <w:p>
      <w:r>
        <w:rPr>
          <w:b/>
        </w:rPr>
        <w:t>E. 4.3</w:t>
      </w:r>
    </w:p>
    <w:p>
      <w:r>
        <w:t>Selon les règles générales du droit des assurances sociales, l’assureur doit établir les faits pertinents. En vertu du principe inquisitoire énoncé à l’art. 43 al. 1 LPGA, il est tenu de procéder d’office aux investigations nécessaires et de recueillir les renseignements requis, les renseignements fournis oralement devant être consignés par écrit. En principe, il incombe à l’assureur de prouver une modification importante du degré d’invalidité lorsqu’il veut réduire ou supprimer une rente (arrêt du Tribunal fédéral 8C_481/2013 du 7 novembre 2013 consid. 3.1 non publié in : ATF 139 V 585 ). Si une modification des faits déterminante pour le droit aux prestations n’est pas établie au degré de la vraisemblance prépondérante, la situation juridique qui prévalait jusqu’alors est maintenue conformément au principe du fardeau matériel de la preuve (arrêt du Tribunal fédéral 8C_481/2013 du 7 novembre 2013 consid. 2.4 et les références ; pour un cas d’application : cf . notamment l’arrêt du Tribunal fédéral 9C_333/2015 du 17 juillet 2015 consid. 3.2).![endif]&gt;![if&gt;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LPGA).![endif]&gt;![if&gt;</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![endif]&gt;![if&gt;</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2).![endif]&gt;![if&gt;</w:t>
      </w:r>
    </w:p>
    <w:p>
      <w:r>
        <w:rPr>
          <w:b/>
        </w:rPr>
        <w:t>E. 8.2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médicaux.![endif]&gt;![if&gt;</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w:t>
      </w:r>
    </w:p>
    <w:p>
      <w:r>
        <w:rPr>
          <w:b/>
        </w:rPr>
        <w:t>E. 8.3.2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4.3.1).![endif]&gt;![if&gt;</w:t>
      </w:r>
    </w:p>
    <w:p>
      <w:r>
        <w:rPr>
          <w:b/>
        </w:rPr>
        <w:t>E. 8.3.3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9</w:t>
      </w:r>
    </w:p>
    <w:p>
      <w:r>
        <w:t>![endif]&gt;![if&gt;</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5a).![endif]&gt;![if&gt;</w:t>
      </w:r>
    </w:p>
    <w:p>
      <w:r>
        <w:rPr>
          <w:b/>
        </w:rPr>
        <w:t>E. 9.2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10</w:t>
      </w:r>
    </w:p>
    <w:p>
      <w:r>
        <w:t>![endif]&gt;![if&gt;</w:t>
      </w:r>
    </w:p>
    <w:p>
      <w:r>
        <w:rPr>
          <w:b/>
        </w:rPr>
        <w:t>E. 10.1</w:t>
      </w:r>
    </w:p>
    <w:p>
      <w:r>
        <w:t>En l’espèce, il n’est ni contesté, ni contestable, qu’à l’issue du délai d’attente d’un an, soit en août 2017, le recourant était totalement incapable d’exercer la moindre activité, qu’il pouvait en principe prétendre à une rente entière dès le 1 er août 2017 mais qu’en raison du dépôt de sa demande de prestations seulement le 25 août 2017, la rente ne pouvait lui être versée qu’à compter du 1 er février 2018 ( cf . art. 29 al. 1 et 3 LAI). ![endif]&gt;![if&gt;</w:t>
      </w:r>
    </w:p>
    <w:p>
      <w:r>
        <w:rPr>
          <w:b/>
        </w:rPr>
        <w:t>E. 10.2</w:t>
      </w:r>
    </w:p>
    <w:p>
      <w:r>
        <w:t>Est en revanche contesté le point de départ du versement des rentes pour enfant de D______, E______ et F______ : alors que la caisse de compensation ayant fixé le dies a quo au 1 er septembre 2019, date de l’entrée en vigueur de la Convention de sécurité sociale entre la Confédération suisse et la République du Kosovo, conclue le 8 juin 2018 (ci-après : la Convention CH-RKS – RS 0.831.109.475.1), le recourant estime pour sa part qu’au vu du domicile de ses enfants en Suisse depuis leur naissance, la rente pour l’enfant D______, née le 11 décembre 2015, devrait être versée, comme celle de son père, dès le 1 er février 2018, alors que pour E______ (né le 29 avril 2018) et F______ (né le 5 août 2019), ce seraient leurs dates de naissance respectives qui feraient foi. Aussi convient-il d’examiner ci-après les règles topiques en la matière.![endif]&gt;![if&gt;</w:t>
      </w:r>
    </w:p>
    <w:p>
      <w:r>
        <w:rPr>
          <w:b/>
        </w:rPr>
        <w:t>E. 10.2.1</w:t>
      </w:r>
    </w:p>
    <w:p>
      <w:r>
        <w:t>Selon l’art. 35 al. 1 LAI, les hommes et les femmes qui peuvent prétendre une rente d’invalidité ont droit à une rente pour chacun des enfants qui, au décès de ces personnes, auraient droit à la rente d’orphelin de l’assurance-vieillesse et survivants ( cf . art. 25 de la loi fédérale sur l’assurance-vieillesse et survivants du 20 décembre 1946 [LAVS - RS 831.10]). ![endif]&gt;![if&gt; Aux termes de l’art. 35 al. 4 LAI,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En règle générale, le droit à la rente pour enfant prend naissance en même temps que le droit du père ou de la mère à une rente d’invalidité. Pour les enfants nés après l’ouverture du droit à la rente d’invalidité, le droit à la rente est ouvert le premier jour du mois de leur naissance. Cette règle s’applique également lorsque la filiation a été établie après coup, par reconnaissance ou par jugement (art. 252 al. 2 du Code civil suisse du 10 décembre 1907 [CC - RS 210] ; Michel VALTERIO, Commentaire de la loi fédérale sur l’assurance-invalidité [LAI], 2018, n. 15-16 ad art. 35). En complément à l’art. 35 LAI, l’art. 6 al. 2 LAI prévoit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L’art. 6 al. 2 LAI constitue une règle de droit interne qui s’applique sous réserve des dispositions de l’accord sur la libre circulation des personnes (ALCP) avec l’UE ; de la Convention AELE et des autres conventions internationales de sécurité sociale conclues par la Suisse. Demeure également réservé l’arrêté fédéral du 4 octobre 1962 concernant le statut des réfugiés et des apatrides dans l’assurance-vieillesse et survivants et dans l’assurance-invalidité (Aréf.). L’art. 6 al. 2 LAI vise donc les assurés qui ne tombent pas sous le coup de ces réglementations (Michel VALTERIO, Commentaire de la loi fédérale sur l’assurance-invalidité [LAI], 2018, n. 5 ad art. 6). L’art. 5 § 1 de la Convention CH-RKS prévoit, en relation avec ses art. 2 et 3, que les ressortissants des États contractants qui sont ou qui ont été soumis aux dispositions légales de l’un des États contractants, ainsi que les membres de leur famille et leurs survivants, qui ont droit à des prestations en espèces au titre de la LAVS ou de LAI, perçoivent ces prestations intégralement, sans aucune restriction, tant qu’elles résident sur le territoire de l’un des États contractants. Selon l’art. 5 § 2 de la Convention CH-RKS, les rentes ordinaires de l’assurance‑invalidité suisse accordées aux assurés dont le taux d’invalidité est inférieur à 50%, ainsi que les rentes extraordinaires et les allocations pour impotent de l’assurance-vieillesse, survivants et invalidité suisse, ne sont versées qu’aux personnes qui sont domiciliées en Suisse et qui y résident habituellement. Les directives concernant les rentes de l’assurance-vieillesse, survivants et invalidité fédérale (ci-après : DR) précisent : « Si le parent titulaire de la rente principale est de nationalité suisse, ressortissant de l’UE/AELE ou d’un état lié à la Suisse par une convention de sécurité sociale, le droit à la rente pour enfant existe indépendamment de la nationalité et du domicile de l’enfant. Pour le droit à la rente pour enfant, sont donc déterminants la nationalité et le domicile du parent titulaire de la rente principale [DR, n° 3342.1]. Par contre, aucun droit à la rente pour enfant n’existe pour le parent titulaire de la rente principale ressortissant d’un État non lié par une convention (font exception les réfugiés reconnus : cf . n° 3342.1) lorsque l’enfant n’a pas son domicile et sa résidence habituelle en Suisse et pour autant qu’il ne possède pas la nationalité suisse (ou UE/AELE) [DR, n° 3342.2] ».</w:t>
      </w:r>
    </w:p>
    <w:p>
      <w:r>
        <w:rPr>
          <w:b/>
        </w:rPr>
        <w:t>E. 10.2.2</w:t>
      </w:r>
    </w:p>
    <w:p>
      <w:r>
        <w:t>Selon l’art. 13 LPGA, le domicile d’une personne est déterminé selon les art. 23 à 26 du code civil (al. 1). Une personne est réputée avoir sa résidence habituelle au lieu où elle séjourne un certain temps même si la durée de ce séjour est d’emblée limitée (al. 2).![endif]&gt;![if&gt; En vertu de l’art. 25 CC, l’enfant sous autorité parentale partage le domicile de ses père et mère ou, en l’absence de domicile commun des père et mère, le domicile de celui de ses parents qui détient la garde ; subsidiairement, son domicile est déterminé par le lieu de sa résidence (al. 1). Le domicile de l’enfant sous tutelle est au siège de l’autorité de protection de l’enfant (al. 2). Au sens des art. 13 al. 1 LPGA et 23 al. 1, 1 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4.3 et les références). Du point de vue des assurances sociales, il n’est dès lors pas déterminant pour fonder un domicile en Suisse que la personne concernée dispose d’une autorisation d’établissement ou de résidence dans le pays (ATF 125 III 100 consid. 3 ; Margit MOSER-SZELESS in : Commentaire romand de la LPGA, 2018, n. 10 ad art. 13). La jurisprudence est cependant plus restrictive avec les personnes disposant d’une autorisation de séjour saisonnière ou de courte durée ( cf . arrêt du Tribunal fédéral 9C_492/2015 du 9 février 2015 consid. 6.3). Dans un arrêt du 31 août 2009, le Tribunal fédéral a cependant estimé que le fait qu’une ressortissante étrangère ait reçu une autorisation seulement cinq ans après le début de son séjour en Suisse ne faisait pas obstacle à la constitution d’un domicile dès son entrée en Suisse, sa situation n’étant pas comparable à celle d’un travailleur saisonnier (arrêt du Tribunal fédéral 9C_914/2008 du 31 août 2009 consid. 6.2). Par résidence habituelle au sens de l’art. 13 al. 2 LPGA, il convient de comprendre la résidence effective en Suisse (« der tatsächliche Aufenthalt » ) et la volonté de conserver cette résidence ; le centre de toutes les relations de l’intéressé doit en outre se situer en Suisse (ATF 119 V 111 consid. 7b et la référence). La notion de résidence doit être comprise dans un sens objectif, de sorte que la condition de la résidence effective en Suisse n’est en principe plus remplie à la suite d’un départ à l’étranger (ATF 141 V 530 consid. 5.3).</w:t>
      </w:r>
    </w:p>
    <w:p>
      <w:r>
        <w:rPr>
          <w:b/>
        </w:rPr>
        <w:t>E. 10.2.3</w:t>
      </w:r>
    </w:p>
    <w:p>
      <w:r>
        <w:t>En l’occurrence, il sied de relever en premier lieu que pour la période qui précède l’entrée en vigueur, au 1 er septembre 2019, de la convention CH-RKS, la situation du recourant est régie par l’art. 6 al. 2 LAI. ![endif]&gt;![if&gt; Il s’ensuit que pour la période qui précède cette date, le versement de la rente d’invalidité est subordonné notamment à l’existence d’un domicile en Suisse. À cet égard, la chambre de céans constate que la caisse de compensation a admis – à tout le moins de manière implicite – que le recourant remplissait cette condition déjà en février 2018, bien qu’il ressorte des informations du registre de l’office cantonal de la population et des migrations (ci-après : OCPM) qu’il ne possédait pas de titre de séjour avant le 3 avril 2019 et que la date de son entrée sur le territoire suisse ne remonterait qu’au 29 mars 2019. On constate cependant que cette dernière information est contredite par une attestation délivrée le 4 octobre 2017 par cette même autorité, certifiant que le recourant, domicilié 42, avenue Blanc, 1202 Genève, « réside sur le territoire de notre canton [et qu’il] a déposé une demande d’autorisation de séjour actuellement à l’examen auprès de nos services » (dossier AI, doc. 21). En tenant compte également du parcours professionnel de l’intéressé à Genève durant de nombreuses années – qui est documenté, entre autres, par ses extraits de compte individuel remontant à avril 2003 ( cf . dossier AI, doc. 92) – et de ses adresses genevoises successives, qui ressortent notamment des communications fiscales couvrant les périodes d’imposition 2016 à 2021 ( cf . pièces 4 à 8 recourant), le fait que la caisse de compensation ait retenu que le recourant avait son domicile et sa résidence habituelle en Suisse au moment de la naissance de son droit à la rente n’apparaît nullement critiquable au regard de la jurisprudence précitée ( cf . ci-dessus : consid. 10.2.2). Est en revanche contestable le fait que la caisse de compensation ait retenu que la présence des enfants D______, E______ et F______ sur le territoire suisse ne serait pas antérieure au 9 novembre 2021, le seul motif invoqué étant que cette information est inscrite au registre de l’OCPM. On relève toutefois que les extraits de ce même registre indiquent que D______, E______ et F______ sont tous trois nés à Genève et qu’il existe en outre suffisamment d’indices concordants dans d’autres pièces du dossier pour constater que ces enfants – qui sont nés avant le mariage de leurs parents et ont tous été reconnus en Suisse par leur père (pièces 1 à 3 recourant) – vivent depuis leur naissance avec leurs parents dans le canton de Genève où ils ont vu le jour ( cf . dossier AI, doc. 21 précité et doc. 43, p. 5/44 [anamnèse sociale établie par le Dr Q______] ; pièces 4 à 8 recourant et les références aux allocations familiales, charges de famille, assurance-maladie et frais médicaux des enfants qu’elles comportent ; pièces 9 à 22 recourant, relatives aux nombreuses consultations pédiatriques des trois enfants aux HUG dès leur plus jeune âge, en particulier la pièce 12 et ses références aux père et mère). Ainsi, l’éventualité que les domicile et résidence habituelle des enfants se situent en Suisse depuis leur naissance apparaît nettement plus vraisemblable (au sens d’une « vraisemblance prépondérante » ; cf . consid. 9.1) que l’hypothèse de leur arrivée en Suisse le 9 novembre 2021 seulement, celle-ci n’étant corroborée par aucun élément factuel. En conséquence, c’est à tort que la décision litigieuse fixe le point de départ du versement des rentes pour enfant en fonction de la date d’entrée en vigueur de la Convention CH-RKS (1 er septembre 2019). Compte tenu de ces éléments et des principes exposés plus haut (consid. 10.2.1), la décision litigieuse devra être réformée en ce sens que la rente en faveur de D______ est due dès le 1 er février 2018, celle en faveur de E______ dès le 1 er avril 2018 et celle en faveur de F______ dès le 1 er août 2019.</w:t>
      </w:r>
    </w:p>
    <w:p>
      <w:r>
        <w:rPr>
          <w:b/>
        </w:rPr>
        <w:t>E. 11</w:t>
      </w:r>
    </w:p>
    <w:p>
      <w:r>
        <w:t>Reste à déterminer si et depuis quand le recourant présente une capacité de travail résiduelle dans une activité lucrative adaptée, à quel taux, et si les conditions étaient réunies pour que l’intimé supprime son droit à la rente d’invalidité au 31 octobre 2020. ![endif]&gt;![if&gt;</w:t>
      </w:r>
    </w:p>
    <w:p>
      <w:r>
        <w:rPr>
          <w:b/>
        </w:rPr>
        <w:t>E. 11.1</w:t>
      </w:r>
    </w:p>
    <w:p>
      <w:r>
        <w:t>Selon l’intimé le recourant présente une capacité de travail de 100%, sans diminution de rendement dans une activité adaptée depuis le 7 août 2020, ce que le recourant conteste.![endif]&gt;![if&gt; La chambre de céans constate que la date du 7 août 2020, retenue par le SMR dans son rapport du 12 janvier 2021, est calquée sur le rapport du 7 août 2020 du Dr Y______, dont les conclusions sont reprises par le SMR en tant qu’il y est fait état d’une capacité de travail de 100% dans une activité adaptée. Ce même rapport du SMR apparaît également fondé sur le rapport du 1 er octobre 2020 de la Dre Z______, que ce soit pour la capacité de travail de 100% dans une activité adaptée, également attestée par cette praticienne, ou pour les limitations fonctionnelles auxquelles une activité adaptée doit répondre (épargne de l’épaule gauche). Constitue ainsi une activité adaptée, selon le SMR, toute activité n’impliquant, pour le membre supérieur gauche ni port de charges, ni geste au‑dessus de l’horizontale, ni geste répétitif. Il sied toutefois de constater que les rapports précités des Dr Y______ et Z______, sur lesquels le SMR se fonde, ne se prononcent pas sur d’éventuelles douleurs de l’épaule gauche même au repos, le premier de ces médecins évoquant des douleurs persistantes en cas de port de charges lourdes et la seconde des douleurs à la mobilisation. Quant au Dr T______, la chambre de céans constate que si ce médecin se montrait encore optimiste concernant l’évolution des douleurs dans son rapport du 7 mai 2020, (également cité par le SMR dans son rapport du 12 janvier 2021) en indiquant qu’avec la physiothérapie, les douleurs et la tuméfaction diminueraient, on note qu’il ressort notamment de son rapport du 17 août 2020 que les douleurs ne se manifestent pas seulement en cas de sollicitation de l’épaule gauche mais aussi la nuit, et qu’elles irradient jusque dans l’avant-bras. Quelques mois plus tard, le Dr T______ rapporte également des douleurs en cas de « position immobile prolongée » ( cf . rapport du 17 mars 2021) et évoque un patient qui « souffre encore beaucoup de cette épaule » (rapport du 7 juin 2021), ce qui lui fait dire que « malgré ce qui été émis par l’AI, nous ne sommes pas du tout dans une situation qui a été stabilisée [ou] améliorée » (rapport du 7 juin 2021) mais « face à une situation stagnante au niveau des douleurs […] avec des douleurs d’allure nociplastique » (rapport du 7 décembre 2021). Aussi le Dr T______ en conclut qu’il faut poursuivre le suivi par la consultation de la douleur chronique et que le patient, au niveau de la situation actuelle, n’est « plus capable d’effectuer un travail physique » (rapport du 7 décembre 2021). Dans son avis du 2 mars 2022, le SMR, se fondant sur le rapport du 7 décembre 2021 du Dr T______ et l’absence de lésion neurologique à l’ENMG du 14 juin 2021 (Dr AE______), considère que l’état de santé de l’assuré ne s’est pas notablement amélioré, mais ne s’est pas non plus aggravé, de sorte que son rapport du 12 janvier 2021 reste valable. La chambre de céans constate que si les conclusions du premier rapport du SMR (du 12 janvier 2021) apparaissent cohérentes au regard des rapports médicaux qui y sont cités, on ne saurait en dire autant du second rapport du SMR, du 2 mars 2022, dans la mesure où la « situation stagnante au niveau des douleurs » décrite par le Dr T______ se réfère à une manifestation des douleurs plus générale (y compris la nuit et en cas de position immobile prolongée) qui ne ressortait pas des rapports médicaux sur la base desquels le SMR a conclu qu’il existait, dès le 7 août 2020, une capacité de travail entière dans une activité adaptée (c’est-à-dire n’impliquant, pour le membre supérieur gauche, ni port de charges, ni geste au-dessus de l’horizontale, ni geste répétitif ou d’utilisation intensive). Or, cette appréciation de la capacité de travail n’est pas nécessairement équivalente à l’incapacité d’effectuer un travail physique attestée par le Dr T______ dans son rapport du 7 décembre 2021, surtout si les douleurs se manifestent malgré une épargne de l’épaule gauche. En effet, à l’examen du volet neurologique du rapport d’expertise du 8 février 2023 d’ASIM Begutachtungen , on constate que l’expert AG______ explique que les critères diagnostiques des douleurs nociplastiques (CIM-10 ; M25.51) – qui ont été évoquées par le Dr T______ dans son rapport du 7 décembre 2021 mais non investiguées par le SMR/l’intimé – sont réalisés. En ce qui concerne les conséquences fonctionnelles de ces douleurs et des autres diagnostics retenus par le Dr AG______ et les co‑experts ( status après chute dans les escaliers le 22 novembre 2018 ; status après contusion du 2 aout 2016 ; status après arthroscopie de l’épaule gauche […] le 21 janvier 2020 ; arthrose acromio-claviculaire), le Dr AG______ rejoint certes pour l’essentiel le SMR en retenant que le recourant ne peut pas soulever ou porter d’objet lourds et que les travaux au-dessus de la tête ne sont pas possibles. Cependant, même si les experts AG______, AF______ et AH______ ne se prononcent pas sur la capacité de travail du recourant, le Dr AG______ n’en aborde pas moins en ces termes une question que le SMR n’a pas intégrée à son appréciation de la capacité de travail dans une activité adaptée, à savoir : « la douleur affecte négativement la qualité de vie […]. La symptomatologie douloureuse affecte négativement la concentration et la mémoire. Le sommeil est perturbé par la douleur » ( cf . rapport d’expertise neurologique, p. 11). Cette symptomatologie douloureuse n’est donc pas discutée par le SMR, notamment sous l’angle de son influence – ou non – sur le taux d’activité et/ou le rendement exigible de la part du recourant dans une activité adaptée. Dans son avis du 19 juin 2023, le SMR fait au contraire le choix de maintenir ses conclusions du 12 janvier 2021 en se focalisant sur le fait que les experts bâlois d’ASIM ont rapporté que l’intensité des troubles ne pouvait pas être expliquée par les résultats cliniques et radiologiques et que le recourant a déclaré être venu seul à l’expertise à Bâle en voiture. Cette argumentation n’emporte toutefois pas la conviction dès lors que les éventuelles incohérences rapportées n’impliquent pas nécessairement que les plaintes soient dépourvues de substrat organique. On rappellera tout d’abord à ce sujet que l’expert neurologue AG______ admet que la symptomatologie douloureuse affecte négativement la concentration et la mémoire et que le sommeil est perturbé par la douleur. Force est par ailleurs de constater que le caractère inexplicable, aux dires des experts AG______, AF______ et AH______, de l’intensité des troubles au regard des résultats cliniques et radiologiques est apprécié à la lumière de documents d’imagerie assez anciens, remontant à deux ans et plus (IRM des 10 janvier 2019, 2 septembre 2019 et 15 février 2021 ; cf . expertise neurologique, p. 10). Or, selon le rapport du 19 juillet 2023 du Dr AI______, une IRM réalisée le 6 juillet 2023, soit à quelques mois d’intervalle du rapport d’expertise bidisciplinaire du 8 février 2023, révélait une évolution par rapport à l’IRM du 15 février 2021, prenant la forme d’une petite fissuration profonde de l’enthèse du sous-scapulaire avec un clivage intra-tendineux, et d’une fissuration profonde de l’enthèse du muscle sus-épineux, sans lésion transfixiante. Dans son rapport du 19 juillet 2023, le Dr AI______ note par ailleurs la présence d’une structure liquidienne kystique située derrière le muscle sous-scapulaire et devant le muscle sous-scapulaire, pouvant évoquer un kyste arthrosynovial versus une bursite à ce niveau. Il ressort ainsi du rapport du Dr AI______ que la situation de l’épaule gauche du recourant était encore tout récemment sujette à des évolutions sur le plan des tendinopathies et que ce praticien pose également un diagnostic différentiel dont il n’a jamais été question dans les rapports précédemment versés au dossier (kyste arthrosynovial versus bursite). Il sied de constater que ces développements récents, qui attestent du caractère évolutif de l’atteinte à l’épaule gauche, vont dans le sens de la non-stabilisation du cas déjà rapportée par le Dr T______ le 7 juin 2021. Sachant toutefois que le rapport du Dr AI______ a été rendu postérieurement à la décision litigieuse, se pose la question de savoir dans quelle mesure il y a lieu d’en tenir compte. Selon une jurisprudence constante, le juge des assurances sociales apprécie la légalité des décisions attaquées, en règle générale, d’après l’état de fait existant au moment où la décision litigieuse a été rendue (ATF 130 V 64 consid. 5.2.5, arrêt du Tribunal fédéral 9C_789/2012 du 27 juillet 2013 consid. 2.3).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 321/04 du 18 juillet 2005 consid. 5). On rappellera par ailleurs qu’une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 arrêt du Tribunal fédéral 8C_510/2020 du 15 avril 2021 consid. 2.2). En l’espèce, le rapport du 6 juillet 2023 du Dr AI______ ne se prononce ni sur les répercussions éventuelles des modifications constatées à l’épaule gauche sur la capacité de travail du recourant dans une activité adaptée, ni sur le moment à partir duquel ces modifications se sont produites et ont déployé leurs éventuels effets. Malgré cela, les diagnostics nouveaux que ce rapport comporte – et sur lesquels l’intimé ne s’est pas déterminé – jettent un doute sur l’incohérence des plaintes que le SMR a invoquée dans son avis du 19 juin 2023 pour motiver le maintien de ses précédentes conclusions, lesquelles, on l’a vu, ne tenaient déjà pas compte, dans l’avis du 2 mars 2022, des douleurs d’allure nociplastique rapportées le 7 décembre 2021 par le Dr T______ et confirmées par l’expert AG______. Étant donné que le SMR ne s’est prononcé ni sur le diagnostic de douleurs d’allure nociplastique posé par le Dr T______, ni sur son influence éventuelle sur les limitations fonctionnelles et la capacité de travail du recourant, la conclusion de l’intimé qu’une amélioration de la capacité de travail du recourant s’est produite le 7 août 2020 dans la mesure retenue par le SMR n’est en l’état pas établie. En outre, le fait que le rapport IRM du 15 février 2021 des radiologues AC______ et AD______ ait révélé des changements – certes légers à l’épaule gauche – en comparaison avec une précédente IRM du 2 septembre 2019 suggère qu’il existait, déjà en 2021, une situation évolutive (dans le même sens : cf . le rapport du 7 juin 2021 du Dr T______) qui se serait poursuivie après la décision litigieuse, comme tend à l’illustrer l’IRM du 6 juillet 2023 relatée par le Dr AI______. Dans ces conditions, il est douteux que depuis l’accident du 22 novembre 2018, la situation du recourant ait été stabilisée de manière durable à un moment donné, au point que les exigences de l’art. 88 a RAI soient remplies (pour une problématique similaire : cf . arrêt du Tribunal fédéral 8C_510/2020 du 15 avril 2021 consid. 4).</w:t>
      </w:r>
    </w:p>
    <w:p>
      <w:r>
        <w:rPr>
          <w:b/>
        </w:rPr>
        <w:t>E. 11.2</w:t>
      </w:r>
    </w:p>
    <w:p>
      <w:r>
        <w:t>En l’état actuel de l’instruction, les doutes qui entourent la fiabilité et la pertinence des appréciations effectuées par le SMR ( cf . ci-dessus : consid. 11.1) font qu’une modification au sens de l’art. 17 LPGA n’est pas établie au degré de la vraisemblance prépondérante ( cf . ci-dessus : consid. 4.3). En lien avec cette problématique, on soulignera par ailleurs que les experts d’ASIM Begutachtungen ne se prononcent pas sur la capacité de travail du recourant, que ce soit dans son activité habituelle ou une activité adaptée. Dans ces conditions, compte tenu du caractère insuffisant de l’instruction, il incombera à l’intimé de mettre en œuvre une expertise indépendante au sens de l’art. 44 LPGA – comportant à tout le moins des volets orthopédiques et neurologiques – pour déterminer si les conditions de la révision sont réunies, c’est-à-dire si et le cas échéant à partir de quand la rente d’invalidité du recourant doit être réduite, voire supprimée.![endif]&gt;![if&gt;</w:t>
      </w:r>
    </w:p>
    <w:p>
      <w:r>
        <w:rPr>
          <w:b/>
        </w:rPr>
        <w:t>E. 12</w:t>
      </w:r>
    </w:p>
    <w:p>
      <w:r>
        <w:t>Compte tenu de ce qui précède, le recours doit être partiellement admis ; la décision du 17 juin 2022 sera non seulement réformée – en ce sens que la rente en faveur de D______ est due dès le 1 er février 2018, celle en faveur de E______ dès le 1 er avril 2018 et celle en faveur de F______ dès le 1 er août 2019 (ci-dessus : consid. 10) – mais aussi annulée, en tant qu’elle supprime la rente d’invalidité du recourant (et les rentes pour enfant) à partir du 1 er novembre 2020, et la cause renvoyée à l’intimé pour instruction complémentaire au sens des considérants et nouvelle décision.![endif]&gt;![if&gt;</w:t>
      </w:r>
    </w:p>
    <w:p>
      <w:r>
        <w:rPr>
          <w:b/>
        </w:rPr>
        <w:t>E. 13</w:t>
      </w:r>
    </w:p>
    <w:p>
      <w:r>
        <w:t>Le recourant, représenté par un avocat, a droit à des dépens qui seront fixés à CHF 2’500.- (art. 61 let. g LPGA).![endif]&gt;![if&gt; Au vu du sort du recours, il y a lieu de condamner l’intimé au paiement d’un émolument de CHF 200.- (art. 69 al. 1 bis LAI). ***** PAR CES MOTIFS, LA CHAMBRE DES ASSURANCES SOCIALES : Statuant À la forme : 1.        Déclare le recours recevable.![endif]&gt;![if&gt; Au fond : 2.        L’admet partiellement au sens des considérants.![endif]&gt;![if&gt; 3.        Réforme la décision du 17 juin 2022 en ce sens que la rente en faveur de D______ est due dès le 1 er février 2018, celle en faveur de E______ dès le 1 er avril 2018 et celle en faveur de F______ dès le 1 er août 2019.![endif]&gt;![if&gt; 4.        Annule la décision du 17 juin 2022 en tant qu’elle supprime la rente d’invalidité du recourant et les rentes pour enfant à partir du 1 er novembre 2020.![endif]&gt;![if&gt; 5.        Renvoie la cause à l’intimé pour instruction complémentaire au sens des considérants et nouvelle décision.![endif]&gt;![if&gt; 6.        Condamne l’intimé à payer au recourant la somme de CHF 2’500.- à titre de participation à ses frais et dépens.![endif]&gt;![if&gt; 7.        Met un émolument de CHF 200.- à la charge de l’intimé. ![endif]&gt;![if&gt;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Christine RAVIER Le président 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