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A/2645/2024 vom 17. September 2024</w:t>
      </w:r>
    </w:p>
    <w:p>
      <w:r>
        <w:t>GE Cour de justice, 2024-09-17, FR</w:t>
      </w:r>
    </w:p>
    <w:p>
      <w:r>
        <w:rPr>
          <w:b/>
        </w:rPr>
        <w:t xml:space="preserve">Quelle: </w:t>
      </w:r>
      <w:r>
        <w:t>https://mcp.opencaselaw.ch/entscheid/ge_gerichte_A_2645_2024</w:t>
      </w:r>
    </w:p>
    <w:p>
      <w:r>
        <w:t>FR: GE_GERICHTE A/2645/2024 du 17 septembre 2024</w:t>
      </w:r>
    </w:p>
    <w:p>
      <w:r>
        <w:t>IT: GE_GERICHTE A/2645/2024 del 17 settembre 2024</w:t>
      </w:r>
    </w:p>
    <w:p>
      <w:pPr>
        <w:pStyle w:val="Heading2"/>
      </w:pPr>
      <w:r>
        <w:t>Erwägungen</w:t>
      </w:r>
    </w:p>
    <w:p>
      <w:r>
        <w:rPr>
          <w:b/>
        </w:rPr>
        <w:t>E. 2</w:t>
      </w:r>
    </w:p>
    <w:p>
      <w:r>
        <w:t>Selon l'art. 10 al. 2 LaLEtr, la chambre administrative doit statuer dans les dix jours qui suivent sa saisine. Ayant reçu le recours le 9 septembre 2024 et statuant ce jour, elle respecte ce délai.</w:t>
      </w:r>
    </w:p>
    <w:p>
      <w:r>
        <w:rPr>
          <w:b/>
        </w:rPr>
        <w:t>E. 3</w:t>
      </w:r>
    </w:p>
    <w:p>
      <w:r>
        <w:t>Le litige a pour objet le bien-fondé de la prolongation de la détention administrative.</w:t>
      </w:r>
    </w:p>
    <w:p>
      <w:r>
        <w:rPr>
          <w:b/>
        </w:rPr>
        <w:t>E. 3.1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3.2</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 dans la mesure où il n’existe plus d’autres mesures permettant d’aboutir à ce que l’étranger se trouvant illégalement en Suisse puisse être renvoyé dans son pays.</w:t>
      </w:r>
    </w:p>
    <w:p>
      <w:r>
        <w:rPr>
          <w:b/>
        </w:rPr>
        <w:t>E. 3.3</w:t>
      </w:r>
    </w:p>
    <w:p>
      <w:r>
        <w:t>La prise d’une telle mesure doit respecter le principe de la proportionnalité, ce qui suppose d’examiner l’ensemble des circonstances pour déterminer si elle apparaît appropriée et nécessaire. Cet examen suppose de tenir compte de notamment la durée de la détention déjà accomplie, la persistance du détenu à ne pas collaborer, ses relations familiales, son âge, son état de santé et ses antécédents (arrêts du Tribunal fédéral 2C_639/2011 du 16 septembre 2011 consid. 3.1 ;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consid. 5b).</w:t>
      </w:r>
    </w:p>
    <w:p>
      <w:r>
        <w:rPr>
          <w:b/>
        </w:rPr>
        <w:t>E. 3.4</w:t>
      </w:r>
    </w:p>
    <w:p>
      <w:r>
        <w:t>La détention peut être ordonnée pour une période d’un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La durée de la détention pour insoumission ne doit pas excéder, avec la détention en vue du renvoi et la détention en phase préparatoire, 18 mois (art. 78 al. 2 LEI et 79 al. 1 et 2 LEI ; ATF 140 II 409 consid. 2.1 ; arrêt du Tribunal fédéral 2C_188/2020 du 15 avril 2020 consid. 7.3).</w:t>
      </w:r>
    </w:p>
    <w:p>
      <w:r>
        <w:rPr>
          <w:b/>
        </w:rPr>
        <w:t>E. 3.5</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Selon l’art. 80 al. 4 LEI, lorsqu’elle examine la décision de détention, de maintien ou de levée de celle-ci, l’autorité judiciaire tient compte de la situation familiale de la personne détenue et des conditions d’exécution de la détention.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assurées (arrêt du Tribunal administratif fédéral [ci-après : ATAF] du 2 mai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En l'espèce, la situation n’a pas évolué depuis les précédents arrêts de la chambre de céans, des 16 mai et 23 août 2024, et les conditions d'une mise en détention pour insoumission au sens de l'art. 78 LEI sont toujours remplies. Le recourant soutient qu’il faudrait attendre l’issue de la procédure pénale en cours pour savoir si les infractions reprochées sont susceptibles de justifier son renvoi. Dans sa réplique, il fait cependant valoir que la dernière procédure pénale aurait été classée, sans toutefois en apporter la preuve, alors qu’une ordonnance de classement lui aurait en telle hypothèse été notifiée. Cela étant, contrairement à ce qu’il semble penser, la procédure pénale en cours ne constitue pas un fait nouveau et il lui est possible de s’y faire représenter par son avocat ou de demander un sauf-conduit si sa comparution est nécessaire. Surtout, il perd de vue que sa détention est fondée sur une décision de renvoi exécutoire du 9 novembre 2020, étant précisé que la demande de révision qu’il a formée contre cette décision a été rejetée par décision, aujourd’hui définitive, du 11 octobre 2021. Le recourant ne conteste pas que les conditions de la détention administrative pour insoumission au sens de l'art. 78 LEI sont remplies. Il s’est en effet toujours soustrait à son obligation de quitter la Suisse et déclare aujourd’hui encore refuser de retourner en Algérie. Il s’est en outre adressé aux autorités algériennes pour empêcher la délivrance du laissez-passer. Il doit être tenu pour responsable du blocage dans lequel se trouve l’exécution de son renvoi, la procédure pénale en cours ne constituant qu’un prétexte pour y faire obstacle. Le TAPI a ainsi correctement établi et apprécié les faits et n’a commis aucune violation de son droit d’être entendu. Le recourant soutient que l’exécution de son renvoi ne serait pas exigible en raison des liens familiaux l’unissant à ses enfants et de ses problèmes de santé. Il reproche au TAPI de ne pas avoir pris en compte sa relation avec ses enfants. À tort, puisque le premier juge s’est penché sur la relation alléguée et a exclu l’existence de relations personnelles et étroites inscrites dans la durée. S’agissant des liens familiaux, le recourant n’établit toujours pas la réalité et l’intensité qu’il leur attribue. Cela étant, même si le recourant recevait aujourd’hui régulièrement la visite de ses enfants sur son lieu de détention, comme il le soutient, et même s’il documente des versements d’argent en leur faveur, sa relation avec ses enfants ne revêtirait pas l’intensité et la durée exigées pour la reconnaissance de liens familiaux étroits. Il y a lieu d’observer en effet que c’est une fois placé en détention administrative que le recourant a soutenu verser de l’argent à ses enfants, à l’automne 2023, puis entretenir avec eux des liens étroits, dès le printemps 2024. Or, C______ est née le ______ 2009, E______ le ______ 2010 et F______ le ______ 2013, et le recourant ne démontre pas avoir entretenu durant ces quinze dernières années des relations suivies avec eux ni avoir pourvu à leur entretien de manière soutenue, alors qu’il était le plus souvent libre et en avait les moyens. Au contraire, il ressort du dossier qu’en décembre 2009, C______ et sa mère avaient été placées dans un foyer à la Chaux‑de‑Fonds et que le 10 août 2020, les mères de ses trois enfants avaient informé l'OCPM qu’il n'entretenait pas de relation étroite du point de vue affectif et économique avec eux. Les enfants du recourant ont aujourd’hui respectivement quinze, treize et dix ans. L’attachement et le soutien financier que le recourant prétend leur témoigner sont non seulement récents mais aussi ténus, et ils pourraient apparaître circonstanciels dès lors qu’ils débutent dans le cadre de sa détention administrative et qu’il en tire argument pour invoquer l’applicabilité de l’art. 8 CEDH protégeant la vie familiale. La décision de renvoi du recourant est aujourd’hui définitive et exécutoire. Celui‑ci n’établit toujours pas de relation personnelle et économique étroite et durable avec ses enfants. C’est ainsi conformément au droit que le TAPI a écarté le grief de violation de la vie familiale. Le recourant reproche au TAPI de ne pas avoir tenu compte de ses problèmes de santé. Il ne peut être suivi. Le TAPI a examiné sa situation médicale et estimé qu’il avait échoué à démontrer qu’il ne pouvait être soigné en Algérie. Le recourant soutient qu’il a produit les pièces attestant ses allégués. Tel n’est cependant pas le cas. L’« avis de consultation transplantation rénale » des HUG du 23 août 2024 qu’il a produit devant le TAPI ne comporte que deux pages sur quatre. Celles-ci permettent toutefois de comprendre qu’un suivi cardiologique doit être organisé, qu’une médication a été mise en place et que le recourant souffre d’une insuffisance rénale de stade 3A – soit une insuffisance encore modérée, seule l’insuffisance de stade 5 nécessitant d’envisager une dialyse ou une transplantation (www.chuv.ch/fr/nephrologie/nep-home/patients-et-famille/maladies-traitees /insuffisance-renale, consulté le 16 septembre 2024). Le recourant reproche au TAPI d’avoir violé son droit d’être entendu en refusant d’ordonner une expertise médicale. Il perd de vue que sa situation médicale et l’état du système de santé algérien sont suffisamment connus et documentés, pour la première par les certificats qu’il a produits, pour la seconde par la casuistique issue de la jurisprudence évoquée plus loin, de sorte qu’une expertise n’est pas nécessaire et que le grief de violation du droit d’être entendu tombe à faux. Il paraît en outre peu probable qu’une expertise puisse être ordonnée, exécutée et discutée dans le délai très bref imparti par l’art. 9 al. 3 LaLEtr au TAPI pour instruire et juger sur la détention. Devant la chambre de céans, le recourant fait valoir pour s’opposer à l’exécution de son renvoi qu’il souffre d’une anomalie de la veine cave et d’une thrombose veineuse, d’insuffisance rénale aiguë et d’anémie normochrome, ainsi que d’anxiété. Il ne rend pas vraisemblable ni même n’allègue que ces pathologies ne pourraient être soignées en Algérie, mais se limite à exprimer la crainte de ne pouvoir accéder au traitement « pour le rein, dont le prix est élevé en Suisse » et ajoute que, démuni, il ne pourrait « se payer » les soins médicaux dispensés dans le secteur privé. À propos de cette dernière crainte, il y a lieu de relever que l’Algérie connaît un système d’assurance-maladie et que l’État prend en principe en charge les frais des soins indispensables de personnes démunies et socialement non assurées (ATAF E‑1753/2022 du 21 avril 2022, D‑3789/2021 du 6 septembre 2021, E‑3503/2021 du 5 juillet 2021). Pour le reste, le recourant ne soutient pas que le système hospitalier algérien ne serait pas en mesure de traiter ses troubles, et la jurisprudence a déjà admis que l’Algérie disposait de structures médicales à même de dispenser des soins et un suivi aux patients, quand bien même la qualité de ceux-ci serait inférieure à ceux disponibles en Suisse (ATAF E-1753/2022 précité). Finalement, le recourant ne rend pas vraisemblable qu’en cas de retour en Algérie, il ne pourrait recevoir les soins essentiels garantissant des conditions minimales d’existence, par quoi il faut entendre les soins de médecine générale et d’urgence absolument nécessaires à la garantie de la dignité humaine (ATAF 2011/50 du 2 mai 2011). Il ne rend pas non plus vraisemblable que son renvoi l’exposerait à un risque majeur et imminent pour sa vie ou son intégrité corporelle. Ses griefs seront écartés. Dès lors que les liens familiaux et l’état de santé du recourant ne forment pas d’obstacle à l’exécution de son renvoi, ce dernier demeure possible, le recourant ne contestant pas qu’il lui est loisible de demander un laissez-passer aux autorités algériennes mais s’y refusant, si bien que la détention demeure justifiée sous cet angle et n’a pas à être levée en application de l’art. 80 al. 6 LEI. Le recourant ne reproche pas, à juste titre, aux autorités de ne pas faire preuve de diligence dans le traitement de l’exécution de son renvoi, étant rappelé que le blocage actuel lui est entièrement imputable. La prolongation de la durée de la détention pour une durée de deux mois est par ailleurs conforme à l’art. 78 al. 2 1 re phrase LEI et la durée maximale de 18 mois prévue par la loi n’est pas atteinte. Entièrement mal fondé, le recours sera rejeté.</w:t>
      </w:r>
    </w:p>
    <w:p>
      <w:r>
        <w:rPr>
          <w:b/>
        </w:rPr>
        <w:t>E. 4</w:t>
      </w:r>
    </w:p>
    <w:p>
      <w:r>
        <w:t>Vu la nature du litige, il ne sera pas perçu d'émolument (art. 87 al. 1 LPA et 12 al. 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