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A/2639/2025 vom 20. November 2025</w:t>
      </w:r>
    </w:p>
    <w:p>
      <w:r>
        <w:t>GE Cour de justice, 2025-11-20, FR</w:t>
      </w:r>
    </w:p>
    <w:p>
      <w:r>
        <w:rPr>
          <w:b/>
        </w:rPr>
        <w:t xml:space="preserve">Quelle: </w:t>
      </w:r>
      <w:r>
        <w:t>https://mcp.opencaselaw.ch/entscheid/ge_gerichte_A_2639_2025</w:t>
      </w:r>
    </w:p>
    <w:p>
      <w:r>
        <w:t>FR: GE_GERICHTE A/2639/2025 du 20 novembre 2025</w:t>
      </w:r>
    </w:p>
    <w:p>
      <w:r>
        <w:t>IT: GE_GERICHTE A/2639/2025 del 20 novembre 2025</w:t>
      </w:r>
    </w:p>
    <w:p>
      <w:pPr>
        <w:pStyle w:val="Heading2"/>
      </w:pPr>
      <w:r>
        <w:t>Erwägungen</w:t>
      </w:r>
    </w:p>
    <w:p>
      <w:r>
        <w:rPr>
          <w:b/>
        </w:rPr>
        <w:t>E. 9.1</w:t>
      </w:r>
    </w:p>
    <w:p>
      <w:r>
        <w:t>Le recourant obtenant très partiellement gain de cause sur un point qu’il n’a, de surcroit, pas invoqué et n’étant pas assisté d’un conseil, il ne se justifie pas de lui octroyer des dépens (art. 61 let. g LPGA et art. 6 du règlement sur les frais, émoluments et indemnités en matière administrative du 30 juillet 1986 [RFPA - E 5 10.03]).</w:t>
      </w:r>
    </w:p>
    <w:p>
      <w:r>
        <w:rPr>
          <w:b/>
        </w:rPr>
        <w:t>E. 9.2</w:t>
      </w:r>
    </w:p>
    <w:p>
      <w:r>
        <w:t>Pour le surplus, en l’absence de loi spéciale prévoyant des frais judiciaires, la procédure est gratuite (art. 61 let. fbis LPGA a contrario ). PAR CES MOTIFS, LA CHAMBRE DES ASSURANCES SOCIALES : Statuant À la forme : 1.        Déclare le recours recevable. Au fond : 2.        L’admet très partiellement. 3.        Annule la décision sur opposition du 19 juin 2025, en tant qu'elle inclut dans le dommage à réparer les cotisations impayées fondées sur la LAMat, les intérêts moratoires et les frais y relatifs. 4.        La confirme pour le surplus. 5.        Renvoie la cause à l'intimée pour nouveau calcul du dommage, excluant les cotisations impayées fondées sur la LAMat, les intérêts moratoires et les frais y relatifs. 6.        Dit que la procédure est gratuite.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Véronique SERAIN Le président Philippe KNUPFER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