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A/2636/2025 vom 21. August 2025</w:t>
      </w:r>
    </w:p>
    <w:p>
      <w:r>
        <w:t>GE Cour de justice, 2025-08-21, FR</w:t>
      </w:r>
    </w:p>
    <w:p>
      <w:r>
        <w:rPr>
          <w:b/>
        </w:rPr>
        <w:t xml:space="preserve">Quelle: </w:t>
      </w:r>
      <w:r>
        <w:t>https://mcp.opencaselaw.ch/entscheid/ge_gerichte_A_2636_2025</w:t>
      </w:r>
    </w:p>
    <w:p>
      <w:r>
        <w:t>FR: GE_GERICHTE A/2636/2025 du 21 août 2025</w:t>
      </w:r>
    </w:p>
    <w:p>
      <w:r>
        <w:t>IT: GE_GERICHTE A/2636/2025 del 21 agosto 2025</w:t>
      </w:r>
    </w:p>
    <w:p>
      <w:pPr>
        <w:pStyle w:val="Heading2"/>
      </w:pPr>
      <w:r>
        <w:t>Erwägungen</w:t>
      </w:r>
    </w:p>
    <w:p>
      <w:r>
        <w:rPr>
          <w:b/>
        </w:rPr>
        <w:t>E. 2</w:t>
      </w:r>
    </w:p>
    <w:p>
      <w:r>
        <w:t>Selon l'art. 10 al. 2 de la loi d'application de la loi fédérale sur les étrangers du 16 juin 1988 (LaLEtr - F 2 10), la chambre administrative doit statuer dans les dix jours qui suivent sa saisine. Ayant reçu le recours le 12 août 2025 et statuant ce jour, elle respecte ce délai.</w:t>
      </w:r>
    </w:p>
    <w:p>
      <w:r>
        <w:rPr>
          <w:b/>
        </w:rPr>
        <w:t>E. 3</w:t>
      </w:r>
    </w:p>
    <w:p>
      <w:r>
        <w:t>Invoquant matériellement un grief d'ordre formel qu'il convient de traiter en premier lieu, le recourant se plaint d'une violation de l'obligation de motiver, le TAPI n'ayant pas abordé dans sa partie en droit l'obstacle à son renvoi que constituaient les menaces de mort qu'il avait alléguées.</w:t>
      </w:r>
    </w:p>
    <w:p>
      <w:r>
        <w:rPr>
          <w:b/>
        </w:rPr>
        <w:t>E. 3.1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w:t>
      </w:r>
    </w:p>
    <w:p>
      <w:r>
        <w:rPr>
          <w:b/>
        </w:rPr>
        <w:t>E. 3.2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rPr>
          <w:b/>
        </w:rPr>
        <w:t>E. 3.3</w:t>
      </w:r>
    </w:p>
    <w:p>
      <w:r>
        <w:t>En l'espèce, le TAPI n'a certes pas abordé dans son jugement la question de la licéité du renvoi en lien avec les menaces de mort alléguées par le recourant. Toutefois, dès lors que cette allégation n'était, comme cela sera examiné ci-après, aucunement étayée, le TAPI pouvait considérer qu'il ne s'agissait pas d'une question décisive pour l'issue du litige. Le grief sera par conséquent écarté.</w:t>
      </w:r>
    </w:p>
    <w:p>
      <w:r>
        <w:rPr>
          <w:b/>
        </w:rPr>
        <w:t>E. 4</w:t>
      </w:r>
    </w:p>
    <w:p>
      <w:r>
        <w:t>Le recourant ne conteste pas que les conditions de sa mise en détention administrative étaient réunies. Le TAPI a examiné celles-ci aux consid. 5 à 10 de son jugement. L'analyse en question ne prête pas le flanc à la critique et la chambre de céans se contentera dès lors d'y renvoyer.</w:t>
      </w:r>
    </w:p>
    <w:p>
      <w:r>
        <w:rPr>
          <w:b/>
        </w:rPr>
        <w:t>E. 5</w:t>
      </w:r>
    </w:p>
    <w:p>
      <w:r>
        <w:t>Le recourant invoque une violation du principe de la proportionnalité, dès lors qu'il ne pouvait absolument pas être renvoyé en Algérie au vu du risque encouru pour sa vie.</w:t>
      </w:r>
    </w:p>
    <w:p>
      <w:r>
        <w:rPr>
          <w:b/>
        </w:rPr>
        <w:t>E. 5.1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5.2</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5.3</w:t>
      </w:r>
    </w:p>
    <w:p>
      <w:r>
        <w:t>Selon l'art. 76 al. 4 LEI, les démarches nécessaires à l'exécution du renvoi ou de l'expulsion doivent être entreprises sans tarder (« principe de célérité ou de diligence »).</w:t>
      </w:r>
    </w:p>
    <w:p>
      <w:r>
        <w:rPr>
          <w:b/>
        </w:rPr>
        <w:t>E. 5.4</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5.5</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5.6</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5.7</w:t>
      </w:r>
    </w:p>
    <w:p>
      <w:r>
        <w:t>Selon l'art. 3 CEDH, nul ne peut être soumis à la torture ni à des peines ou traitements inhumains ou dégradants. Pour tomber sous le coup de l'art. 3 CEDH, un mauvais traitement doit atteindre un minimum de gravité. L'appréciation de ce minimum dépend de l'ensemble des données de la cause (ACEDH A.A. c. Suisse du 5 novembre 2019, req. n° 32218/17, § 40 ; ATF 140 I 125 consid. 3.3 ; 134 I 221 consid. 3.2.1). Les États parties à la CEDH ont le droit de contrôler l'entrée, le séjour et l'éloignement des non-nationaux (ATF 139 I 330 consid. 2.1 ; 138 I 246 consid. 3.2.1). Cependant, l'expulsion, l'extradition ou toute autre mesure d'éloignement d'un étranger peut soulever un problème au regard de l'art. 3 CEDH, lorsqu'il y a des motifs sérieux et avérés de croire que l'intéressé, si on l'expulse vers le pays de destination, y courra un risque réel d'être soumis à un traitement contraire à cette disposition. Dans ce cas, l'art. 3 CEDH implique l'obligation de ne pas expulser la personne en question vers ce pays (ACEDH A.A. c. Suisse du 5 novembre 2019, req. n° 32218/17, § 39 et les références citées ; arrêts du Tribunal fédéral 2D_3/2024 du 2 mai 2024 consid. 5.1 ; 2C_564/2021 du 3 mai 2022 consid. 6.3 et les arrêts cités). Il incombe en principe au requérant de prouver l'existence de tels risques réels (arrêt du Tribunal fédéral 2D_3/2024 du 2 mai 2024 consid. 5.1 et les arrêts cités).</w:t>
      </w:r>
    </w:p>
    <w:p>
      <w:r>
        <w:rPr>
          <w:b/>
        </w:rPr>
        <w:t>E. 5.8</w:t>
      </w:r>
    </w:p>
    <w:p>
      <w:r>
        <w:t>L'art. 3 CEDH trouve aussi à s'appliquer lorsque le danger émane d'acteurs non étatiques (ATF 111 Ib 68 ). Encore faut-il démontrer que le risque existe réellement et que les autorités de l'État de destination ne sont pas en mesure d'y obvier par une protection appropriée ou n'ont pas la volonté de le faire (ACEDH Hirsi Jamaa et autres c. Italie du 23 février 2012, req. n° 27765/09, § 120 ; arrêt du Tribunal fédéral 2C_564/2021 du 3 mai 2022 consid. 6.4 et les arrêts cités). Une simple possibilité de subir de mauvais traitement n'est pas suffisante pour prohiber l'exécution d'un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 ATA/141/2025 du 4 février 2025 consid. 4.2 ; ATA/1125/2023 du 11 octobre 2023 consid. 3.2 et les arrêts cités).</w:t>
      </w:r>
    </w:p>
    <w:p>
      <w:r>
        <w:rPr>
          <w:b/>
        </w:rPr>
        <w:t>E. 5.9</w:t>
      </w:r>
    </w:p>
    <w:p>
      <w:r>
        <w:t>En l'espèce, le grief du recourant a trait non pas à la proportionnalité de l'ordre de mise en détention, mais au caractère licite de son expulsion. Or, celle-ci a déjà été examinée tant par les autorités pénales, qui l'ont prononcée et confirmée à deux reprises sur appel, que par les autorités administratives, qui en ont refusé le report. Ce n'est donc qu'en cas d'illicéité ou d'inexigibilité manifeste que la chambre de céans pourrait intervenir en tant que juge de la détention administrative. Lors de son audition par le TAPI, le recourant a à ce propos déclaré être menacé de mort par le frère de son ex-amie en Algérie. Ces menaces avaient selon lui été proférées en 2004 et c’était la raison pour laquelle il était venu en Europe en 2005. Le recourant n'a donné aucun détail supplémentaire sur la raison de ces menaces, et n'a fourni aucun début de preuve à leur sujet. De plus, lesdites menaces remonteraient à plus de vingt ans, si bien que même si elles étaient prouvées, ce qui n'est aucunement le cas, elles ne seraient très probablement plus d'actualité. Dans ces conditions, il est exclu de retenir que le recourant – à qui il incombait de prouver ses allégations – encourt un risque concret et sérieux de mauvais traitements en cas de retour en Algérie. Le grief sera donc écarté.</w:t>
      </w:r>
    </w:p>
    <w:p>
      <w:r>
        <w:rPr>
          <w:b/>
        </w:rPr>
        <w:t>E. 5.10</w:t>
      </w:r>
    </w:p>
    <w:p>
      <w:r>
        <w:t>Pour le surplus, le recourant ne remet pas en cause la célérité de l'action des autorités de migration, pas plus que la proportionnalité de la durée de la détention, points sur lesquels on peut là aussi renvoyer au jugement du TAPI (consid. 15). Il découle de ce qui précède que le recours, entièrement mal fondé, doit être rejeté.</w:t>
      </w:r>
    </w:p>
    <w:p>
      <w:r>
        <w:rPr>
          <w:b/>
        </w:rPr>
        <w:t>E. 6</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