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A/2631/2007 vom 28. November 2007</w:t>
      </w:r>
    </w:p>
    <w:p>
      <w:r>
        <w:t>GE Cour de justice, 2007-11-28, FR</w:t>
      </w:r>
    </w:p>
    <w:p>
      <w:r>
        <w:rPr>
          <w:b/>
        </w:rPr>
        <w:t xml:space="preserve">Quelle: </w:t>
      </w:r>
      <w:r>
        <w:t>https://mcp.opencaselaw.ch/entscheid/ge_gerichte_A_2631_2007</w:t>
      </w:r>
    </w:p>
    <w:p>
      <w:r>
        <w:t>FR: GE_GERICHTE A/2631/2007 du 28 novembre 2007</w:t>
      </w:r>
    </w:p>
    <w:p>
      <w:r>
        <w:t>IT: GE_GERICHTE A/2631/2007 del 28 novembre 2007</w:t>
      </w:r>
    </w:p>
    <w:p>
      <w:pPr>
        <w:pStyle w:val="Heading2"/>
      </w:pPr>
      <w:r>
        <w:t>Volltext</w:t>
      </w:r>
    </w:p>
    <w:p>
      <w:r>
        <w:t>Genève Cour de justice (Cour de droit public) Chambre des assurances sociales 28.11.2007 A/2631/2007</w:t>
      </w:r>
    </w:p>
    <w:p>
      <w:r>
        <w:t>A/2631/2007 ATAS/1360/2007 du 28.11.2007 ( LAMAL ) , CONCILIE Par ces motifs RÉPUBLIQUE ET CANTON DE GENÈVE POUVOIR JUDICIAIRE A/2631/2007 ATAS/1360/2007 ARRET DU TRIBUNAL CANTONAL DES ASSURANCES SOCIALES Chambre 4 du 28 novembre 2007 En la cause Monsieur P__________ recourant contre ASSURA - ASSURANCE MALADIE ET ACCIDENT, sise Z.I. En Budron A1, LE MONT s/ LAUSANNE intimée Vu la demande déposée par Monsieur P__________ le 2 juillet 2007 ; Vu l’audience de ce jour ; Vu l’accord intervenu entre les parties ; PAR CES MOTIFS, LE TRIBUNAL CANTONAL DES ASSURANCES SOCIALES Statuant d’accord entre les parties (conformément à l’art. 56 W LOJ) Donne acte à Monsieur P__________ de son engagement à payer à ASSURA, au début du mois de décembre 2008, le montant de 265 fr., pour solde de tout compte, au titre des assurances complémentaires.. L’y condamne en tant que de besoin. Donne acte à ASSURA de ce qu'elle accepte et s'engage, une fois le paiement intervenu, à solliciter de l'Office des poursuites la radiation des actes de défaut de biens relatifs aux assurances complémentaires..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Sylvie CHAMOUX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