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A/2629/2011 vom 18. Juni 2012</w:t>
      </w:r>
    </w:p>
    <w:p>
      <w:r>
        <w:t>GE Cour de justice, 2012-06-18, FR</w:t>
      </w:r>
    </w:p>
    <w:p>
      <w:r>
        <w:rPr>
          <w:b/>
        </w:rPr>
        <w:t xml:space="preserve">Quelle: </w:t>
      </w:r>
      <w:r>
        <w:t>https://mcp.opencaselaw.ch/entscheid/ge_gerichte_A_2629_2011</w:t>
      </w:r>
    </w:p>
    <w:p>
      <w:r>
        <w:t>FR: GE_GERICHTE A/2629/2011 du 18 juin 2012</w:t>
      </w:r>
    </w:p>
    <w:p>
      <w:r>
        <w:t>IT: GE_GERICHTE A/2629/2011 del 18 giugno 2012</w:t>
      </w:r>
    </w:p>
    <w:p>
      <w:pPr>
        <w:pStyle w:val="Heading2"/>
      </w:pPr>
      <w:r>
        <w:t>Erwägungen</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w:t>
      </w:r>
    </w:p>
    <w:p>
      <w:r>
        <w:rPr>
          <w:b/>
        </w:rPr>
        <w:t>E. 7</w:t>
      </w:r>
    </w:p>
    <w:p>
      <w:r>
        <w:t>a)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b)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c)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(ATFA non publiés I 43/05 du 30 juin 2006, consid. 5.2 et I 1/03 du 15 avril 2003, consid. 5.2). d) Aux termes de l’art. 88a al. 1 du règlement sur l’assurance-invalidité du 17 janvier 1961 (RS 831.201 ;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Aux termes de l’art. 88a al. 2 RAI,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w:t>
      </w:r>
    </w:p>
    <w:p>
      <w:r>
        <w:rPr>
          <w:b/>
        </w:rPr>
        <w:t>E. 8</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f)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rPr>
          <w:b/>
        </w:rPr>
        <w:t>E. 9</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10</w:t>
      </w:r>
    </w:p>
    <w:p>
      <w:r>
        <w:t>En l'espèce, figurent au dossier, d'une part, les rapport médicaux du Dr C__________ (des 16 décembre 2009, 3 mai 2010, 14 juin 2010) et, d'autre part, un examen rhumatologique du SMR du 16 août 2010 (rapport du 12 octobre 2010), complété par des avis médicaux des 6 décembre 2010, 8 mars 2011, 7 novembre 2011 et 19 mars 2012. Selon le Dr C__________, le recourant présente des lombalgies chroniques invalidantes dont le pronostic est défavorable en raison de troubles dégénératifs importants de la colonne lombaire et des lombosciatalgies épisodiques et lors d'activités, entraînant des incapacité de travail multiples depuis 2007 et à 50 % depuis le 5 novembre 2009. Selon le SMR, le recourant présente les diagnostics, avec répercussion sur la capacité de travail, de syndrome lombaire dans le contexte d'un status post double intervention pour hernie discale L5-S1 droite, discopathies L4-L5 et L5-S1 avec signes modic I et spondylarthrose débutante (8M51.3) entraînant une capacité de travail limitée. Celle-ci a été évaluée à 5-6 heures par jour ou 60 % dès le 1 er décembre 2008 (rapport des 12 octobre 2010 et 6 décembre 2010) puis dès le 1 er janvier 2009 (rapport du 8 mars 2011); le 7 novembre 2011, le SMR a précisé qu'une incapacité de travail de 40 % était tout à fait justifiée dans toute activité professionnelle et le 19 mars 2012 que la capacité de travail était de 5 heures par jour ou de 60 % depuis le 12 janvier 2009, avec une stabilisation atteinte le 1 er décembre 2008; enfin une IMR du 22 août 2011 montrait une aggravation qu'il n'était en l'état pas possible d'évaluer sans investigation supplémentaire. Le rapport d'expertise du SMR, complété par les avis médicaux subséquents précisant en particulier le taux de la capacité de travail du recourant et la date du début de l'incapacité de travail durable, remplit les critères jurisprudentiels précités pour qu'il lui soit reconnu une pleine valeur probante. Selon cette expertise et en particulier les précisions données par le SMR le 19 mars 2012, le recourant a présenté une incapacité de travail durable depuis le 10 décembre 2008 et sa capacité de travail était nulle du 10 décembre 2008 au 11 janvier 2009 et de 60 % dès le 12 janvier 2009 dans l'activité habituelle d'enseignant, soit une incapacité de travail de 40 %. L'intimé a, dans un premier temps, confirmé sa décision de rejet de prestation en invoquant un taux d'invalidité du recourant de 31 %. Il s'est finalement rallié à l'avis du recourant selon lequel son incapacité de travail était de 40 % dans son activité habituelle d'enseignant et a proposé l'octroi d'un quart de rente d'invalidité depuis le 1 er novembre 2010. La Cour de céans constate que la Dresse F__________ du SMR a estimé, dès sa première évaluation figurant dans les conclusions de son rapport du 12 octobre 2010, que la capacité de travail exigible était de 60 % tant dans une activité habituelle qu'adaptée, taux qu'elle a confirmé dans ses avis subséquents des 7 novembre 2011, dans lequel elle précise que le recourant subit une diminution de rendement dans les heures de préparation des cours de sorte qu'une incapacité de travail de 40 % dans toute activité est tout à fait justifiée et 19 mars 2012, dans lequel elle mentionne qu'en tout la capacité de travail est de 60 %, soit un nombre d'heures de travail exigible de 14 heures d'enseignement sans diminution de rendement et des heures de préparation avec une certaine diminution de rendement. Il n’y a ainsi pas lieu de s’écarter de la capacité résiduelle de travail telle qu’estimée par le SMR, soit un taux de 60 % dans l'activité habituelle d'enseignant, étant constaté que le recourant l'a acceptée et que l'intimé s'y est finalement rallié. Le recourant fait encore valoir une aggravation de son état de santé attestée par l'IRM du 22 août 2011.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(cf. ATF 131 V 242 consid. 2.1 p. 243, 121 V 362 consid. 1b p. 366). Pour des motifs d'économie de procédure, la procédure juridictionnelle administrative peut être étendue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p. 503, ATF 122 V 34 consid. 2a p. 36 et les références; ATF du 19 avril 2012 9C 598/2011). L'objet du litige étant limité par la date de la décision litigieuse, soit le 29 juin 2011, une aggravation survenue postérieurement à cette date doit être traitée au titre de demande révision, l'allégation du recourant selon laquelle l'aggravation a dû se produire antérieurement au 29 juin 2011, même si elle n'a été attestée radiologiquement que le 22 août 2011, n'étant que probable. Certes, l'objet du litige peut-il être étendu, aux conditions précités. Toutefois, en l'espèce, la question de l'aggravation de l'état de santé du recourant n'est pas en l'état d'être jugée mais doit faire l'objet d'une évaluation médicale de sorte qu'il ne se justifie pas d'étendre l'objet du litige à cette question, ce d'autant que les parties sont finalement tombées d'accord pour qu'elle fasse l'objet d'une révision, instruite par l'intimé. S'agissant enfin de la naissance du droit au quart de rente d'invalidité, il est à constater que le SMR a indiqué une stabilisation de l'état de santé au 10 décembre 2008, avec une incapacité de travail totale du 10 décembre 2008 jusqu'au 11 janvier 2009 et à 60 % dès le 12 janvier 2009, de sorte que le délai d'un an (art. 9 LAI) a commencé à courir le 10 décembre 2008 et qu'au 9 décembre 2009 le recourant a présenté une incapacité de travail durable de 40 % dans son activité habituelle, soit un taux d'invalidité de 40 % donnant droit à un quart de rente d'invalidité depuis le 1 er décembre 2009. Cependant, au vu du dépôt de la demande de prestation le 16 septembre 2009, le droit à la rente prend naissance six mois plus tard, soit le 1 er mars 2010.</w:t>
      </w:r>
    </w:p>
    <w:p>
      <w:r>
        <w:rPr>
          <w:b/>
        </w:rPr>
        <w:t>E. 11</w:t>
      </w:r>
    </w:p>
    <w:p>
      <w:r>
        <w:t>Au vu de ce qui précède, le recours sera admis, la décision litigieuse annulée, il sera dit que le recourant a droit à un quart de rente d'invalidité depuis le 1 er mars 2010 et la cause sera, pour le surplus, renvoyée à l'intimé pour instruction par la voie de la révision pour la période postérieure à la décision litigieuse du 29 juin 2011.</w:t>
      </w:r>
    </w:p>
    <w:p>
      <w:r>
        <w:rPr>
          <w:b/>
        </w:rPr>
        <w:t>E. 12</w:t>
      </w:r>
    </w:p>
    <w:p>
      <w:r>
        <w:t>Vu l'issue du litige, une indemnité de 2'500 fr. sera allouée au recourant, à charge de l'intimé. Etant donné que, depuis le 1 er juillet 2006, la procédure n'est plus gratuite (art. 69 al. 1bis LAI), au vu du sort du recours, il y a lieu de condamner l'intimé au paiement d'un émolument de 200 fr. PAR CES MOTIFS, LA CHAMBRE DES ASSURANCES SOCIALES : Statuant A la forme : Déclare le recours recevable. Au fond : L'admet. Annule la décision de l'intimé du 29 juin 2011. Dit que le recourant a droit à un quart de rente d'invalidité depuis le 1 er mars 2010. Renvoie la cause à l'intimé dans le sens des considérants. Condamne l'intimé à verser une indemnité de 2'500 fr. au recourant.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