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A/2628/2009 vom 10. November 2009</w:t>
      </w:r>
    </w:p>
    <w:p>
      <w:r>
        <w:t>GE Cour de justice, 2009-11-10, FR</w:t>
      </w:r>
    </w:p>
    <w:p>
      <w:r>
        <w:rPr>
          <w:b/>
        </w:rPr>
        <w:t xml:space="preserve">Quelle: </w:t>
      </w:r>
      <w:r>
        <w:t>https://mcp.opencaselaw.ch/entscheid/ge_gerichte_A_2628_2009</w:t>
      </w:r>
    </w:p>
    <w:p>
      <w:r>
        <w:t>FR: GE_GERICHTE A/2628/2009 du 10 novembre 2009</w:t>
      </w:r>
    </w:p>
    <w:p>
      <w:r>
        <w:t>IT: GE_GERICHTE A/2628/2009 del 10 novembre 2009</w:t>
      </w:r>
    </w:p>
    <w:p>
      <w:pPr>
        <w:pStyle w:val="Heading2"/>
      </w:pPr>
      <w:r>
        <w:t>Erwägungen</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ATFA non publié du 19 mars 2004, I 751/03 consid. 3.3, RAMA 1985 p. 240 consid. 4).</w:t>
      </w:r>
    </w:p>
    <w:p>
      <w:r>
        <w:rPr>
          <w:b/>
        </w:rPr>
        <w:t>E. 7</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il n'est pas contesté que l'assuré ne peut pas reprendre une activité de maçon. Tous les médecins ont en effet constaté que sa capacité de travail à cet égard était nulle, en raison des douleurs et de l'instabilité de la cheville. En revanche, tant le Dr O___________ le 12.01.09, et le Dr M___________ le 27 mai 2008, d'une part, que le Dr P___________, d'autre part, sont d'avis qu'une activité adaptée, en position assise, est envisageable. Il est vrai que le Dr M___________, dans son rapport du 2 février 2009, a renoncé à se prononcer sur cette question, préférant indiquer qu'il ne pouvait pas dire "si une reprise de travail était possible ou non actuellement". Il y a toutefois lieu de rappeler que ce médecin a relevé, dans ce même rapport, que l'état de santé de l'assuré était stationnaire, Or, l'instabilité de la cheville, dont l'origine n'est pas clairement déterminée encore, a été constatée en mai 2008 déjà. Elle était ainsi connue au moment où le rapport du 27 mai 2008 a été établi. La survenance de cette instabilité ne change quoi qu'il en soit rien au fait que l'assuré peut travailler en position assise. Par conséquent, en l'état, une pleine capacité de travail doit être reconnue à l'assuré dans un travail adapté, en position assise. Point n'est besoin, en l'occurrence, de déterminer des métiers précis : les limitations fonctionnelles de l'assuré lui permettent d'effectuer pratiquement toutes les activités recensées par les statistiques, en particulier les activités manufacturières. Enfin, le Tribunal de céans considère, au vu de ce qui précède, qu’une mesure d’instruction complémentaire, telle qu’une expertise n’est pas nécessaire (cf. ATF 122 II 469 consid. 4a, 122 III 223 consid. 3c).</w:t>
      </w:r>
    </w:p>
    <w:p>
      <w:r>
        <w:rPr>
          <w:b/>
        </w:rPr>
        <w:t>E. 11</w:t>
      </w:r>
    </w:p>
    <w:p>
      <w:r>
        <w:t>Reste à déterminer le degré d’invalidité de l’assuré.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w:t>
      </w:r>
    </w:p>
    <w:p>
      <w:r>
        <w:rPr>
          <w:b/>
        </w:rPr>
        <w:t>E. 12</w:t>
      </w:r>
    </w:p>
    <w:p>
      <w:r>
        <w:t>En l'espèce, l'intimé a retenu un revenu annuel sans invalidité de 60'284 fr., lequel n'est pas contesté par le recourant. Pour le revenu sans invalidité, il s'est référé aux statistiques salariales de l'Enquête suisse sur la structure des salaires pour un homme travaillant dans une activité de niveau 4 (activités simples et répétitives), soit un revenu de 54'203 fr. Le degré d'invalidité a ainsi été fixé à 10%. Force est de constater que les éléments retenus par l'OCAI ne prêtent pas flanc à la critique.</w:t>
      </w:r>
    </w:p>
    <w:p>
      <w:r>
        <w:rPr>
          <w:b/>
        </w:rPr>
        <w:t>E. 13</w:t>
      </w:r>
    </w:p>
    <w:p>
      <w:r>
        <w:t>Il y a à ce stade lieu d'examiner la question de savoir si un abattement devrait être pris en considération.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l'OCAI n'a opéré aucune réduction, dans la mesure où il a vraisemblablement estimé qu'outre ses limitations fonctionnelles, l'assuré ne présentait pas de difficultés majeures liées à l'âge, aux années de service, à la nationalité ou au taux d'occupation exigible. Le Tribunal de céans ne saurait en l'occurrence s'écarter de l'appréciation de l'OCAI, laquelle n'est pas critiquable. C'est donc à juste titre que le degré d'invalidité a été fixé à 10%. Or, ce taux n’est pas suffisant pour justifier l'octroi d' une rente d’invalidité.</w:t>
      </w:r>
    </w:p>
    <w:p>
      <w:r>
        <w:rPr>
          <w:b/>
        </w:rPr>
        <w:t>E. 14</w:t>
      </w:r>
    </w:p>
    <w:p>
      <w:r>
        <w:t>Il y a enfin lieu de déterminer si une mesure de réadaptation professionnelle pourrait être envisagée.</w:t>
      </w:r>
    </w:p>
    <w:p>
      <w:r>
        <w:rPr>
          <w:b/>
        </w:rPr>
        <w:t>E. 15</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16</w:t>
      </w:r>
    </w:p>
    <w:p>
      <w:r>
        <w:t>Dans le cas particulier, il apparaît qu'une mesure de reclassement ne saurait être accordée dès lors que la perte de gain que subit l'assuré n'atteint pas 20%. Par ailleurs, les activités simples et répétitives qu'il est susceptible d'exercer ne requièrent pas de formation particulière si ce n'est une mise au courant pratique en entreprise, ce qui exclut l'octroi d'une mesure aussi onéreuse que le reclassement.</w:t>
      </w:r>
    </w:p>
    <w:p>
      <w:r>
        <w:rPr>
          <w:b/>
        </w:rPr>
        <w:t>E. 17</w:t>
      </w:r>
    </w:p>
    <w:p>
      <w:r>
        <w:t>Aussi le recours ne peut-il être que rejeté. La cause est toutefois renvoyée à l'OCAI, s'agissant de l'aide au placement.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