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A/2621/2020 vom 27. April 2021</w:t>
      </w:r>
    </w:p>
    <w:p>
      <w:r>
        <w:t>GE Cour de justice, 2021-04-27, FR</w:t>
      </w:r>
    </w:p>
    <w:p>
      <w:r>
        <w:rPr>
          <w:b/>
        </w:rPr>
        <w:t xml:space="preserve">Quelle: </w:t>
      </w:r>
      <w:r>
        <w:t>https://mcp.opencaselaw.ch/entscheid/ge_gerichte_A_2621_2020</w:t>
      </w:r>
    </w:p>
    <w:p>
      <w:r>
        <w:t>FR: GE_GERICHTE A/2621/2020 du 27 avril 2021</w:t>
      </w:r>
    </w:p>
    <w:p>
      <w:r>
        <w:t>IT: GE_GERICHTE A/2621/2020 del 27 aprile 2021</w:t>
      </w:r>
    </w:p>
    <w:p>
      <w:pPr>
        <w:pStyle w:val="Heading2"/>
      </w:pPr>
      <w:r>
        <w:t>Erwägungen</w:t>
      </w:r>
    </w:p>
    <w:p>
      <w:r>
        <w:rPr>
          <w:b/>
        </w:rPr>
        <w:t>E. 2</w:t>
      </w:r>
    </w:p>
    <w:p>
      <w:r>
        <w:t>au sud (parcelle n° 10______) sont affectés aux grandes cultures. Au sud, plusieurs parcelles sont affectées au colza. Ainsi, le jardin d'agrément est entouré de terres agricoles cultivées, selon les informations du système d'information du territoire à Genève (ci-après : SITG). d. La jurisprudence a par ailleurs rappelé l'intérêt public à maintenir dans des proportions raisonnables l'utilisation de terres agricoles, qui étaient attenantes à une zone à bâtir, comme jardin d'agrément ou comme surface de dégagement agricole (arrêt du Tribunal fédéral 2C_14/2020 précité consid. 5.3). e. La qualification de SDA n'est pas déterminante. Elle ne fait que confirmer que, par définition, la parcelle se prête à l'agriculture (art. 6 al. 2 let. a LAT et art. 26 OAT ; arrêt du Tribunal fédéral 2C_14/2020 précité consid. 5.2) et que le canton la considère comme une terre propice à l'agriculture qui ne devrait pas être affectée à un usage autre que l'exploitation agricole ou horticole (art. 20 al. 3 LaLAT). f. La propriétaire se prévaut de l'inventaire agricole alléguant que sa parcelle appartient à la catégorie « habitations et prolongements ; pelouses, jardins ». Elle reconnait toutefois que celui-ci n'a pas force obligatoire, ce que précise expressément la fiche de métadonnée qui mentionne que l'inventaire doit être considéré comme une étude de base du plan directeur cantonal et ajoute que la carte n'a aucune portée légale. g. La CFA se réfère à un arrêt de la chambre de céans ( ATA/388/2011 du 21 juin 2011). Dans l'arrêt précité, il s'agissait de désassujettir une parcelle dont, au vu de la taille des arbres et de la disposition des bosquets, l'aspect de la parcelle paraissait inchangé depuis des décennies, vraisemblablement depuis la construction des bâtiments soit les années 1930 - 1940. La situation n'est dès lors pas comparable, la parcelle litigieuse fait l'objet de récoltes la dernière fois en 1994. h. Il ne peut rien être déduit du constat dressé par la CFA lors de son déplacement selon lequel « la parcelle 1______ n'est pas affectée à l'agriculture et est utilisée comme jardin d'agrément au moins depuis 1994 ». Ce constat n'est pas déterminant, l'analyse devant porter sur les trois conditions jurisprudentielles susmentionnées. i. La propriétaire invoque la fiche A05 du PDCant. Il ressort toutefois du schéma directeur cantonal, dans son état après la première mise à jour, adopté par le Grand Conseil le 10 avril 2019 et approuvé par la Confédération le 18 janvier 2021, que la parcelle litigieuse est prévue pour rester une SDA (fiche C01). Seuls certains terrains situés à l'est de la route de Thonon seraient concernés par une extension urbaine à l'horizon 2040 (fiche A05). j. Partant, deux des trois conditions nécessaires et cumulatives de la composante d'ordre subjectif de la caractéristique de l'aptitude agricole du bien-fonds en cause, que le Tribunal fédéral considère comme des conditions strictes pour que le terrain puisse perdre sa nature agricole, n'étant pas remplies, la parcelle litigieuse reste appropriée à un usage agricole au sens de l'art. 6 al. 1 LDFR. La troisième condition relative à la durée de l'usage non agricole souffrira de rester indécise. Celle-ci représente en l'espèce, depuis 1995, un peu moins de vingt-six ans, durée dont il n'est pas certain, en l'état de la jurisprudence du Tribunal fédéral, qu'elle soit suffisante pour que la condition soit remplie (arrêt du Tribunal fédéral 2C_14/2020 du 18 juin 2020 consid. 5.3). En conséquence, la parcelle n° 1______ de la commune ______ doit rester soumise au champ d'application de la loi sur le droit foncier rural. Le recours sera admis. 7) Vu l'issue du recours,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