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A/2620/2020 vom 19. Januar 2021</w:t>
      </w:r>
    </w:p>
    <w:p>
      <w:r>
        <w:t>GE Cour de justice, 2021-01-19, FR</w:t>
      </w:r>
    </w:p>
    <w:p>
      <w:r>
        <w:rPr>
          <w:b/>
        </w:rPr>
        <w:t xml:space="preserve">Quelle: </w:t>
      </w:r>
      <w:r>
        <w:t>https://mcp.opencaselaw.ch/entscheid/ge_gerichte_A_2620_2020</w:t>
      </w:r>
    </w:p>
    <w:p>
      <w:r>
        <w:t>FR: GE_GERICHTE A/2620/2020 du 19 janvier 2021</w:t>
      </w:r>
    </w:p>
    <w:p>
      <w:r>
        <w:t>IT: GE_GERICHTE A/2620/2020 del 19 gennaio 2021</w:t>
      </w:r>
    </w:p>
    <w:p>
      <w:pPr>
        <w:pStyle w:val="Heading2"/>
      </w:pPr>
      <w:r>
        <w:t>Regeste</w:t>
      </w:r>
    </w:p>
    <w:p>
      <w:r>
        <w:t>LOGEMENT SOCIAL;DOMICILE | Confirmation de la jurisprudence constante de la chambre administrative selon laquelle le critère pour définir les personnes occupant un logement au sens de la LGL est celui de l’inscription du domicile dans le registre de l’OCPM, et non le domicile effectif au sens du droit civil. Rejet du recours. | LGL.31C.al1.letf</w:t>
      </w:r>
    </w:p>
    <w:p>
      <w:pPr>
        <w:pStyle w:val="Heading2"/>
      </w:pPr>
      <w:r>
        <w:t>Erwägungen</w:t>
      </w:r>
    </w:p>
    <w:p>
      <w:r>
        <w:rPr>
          <w:b/>
        </w:rPr>
        <w:t>E. 4</w:t>
      </w:r>
    </w:p>
    <w:p>
      <w:r>
        <w:t>4) En l'espèce, les recourants reprochent à la jurisprudence de manquer de précision quant aux hypothèses admettant des dérogations au principe du domicile légal déclaré à l'OCPM, prévu à l'art. 31C al. 1 let. f LGL. Ils estiment qu'il s'agit d'une « présomption réfragable » et qu'à tout le moins dans les situations où le locataire ne maîtrise pas les raisons ayant conduit à une inscription qui ne correspond pas à la réalité, il doit pouvoir démontrer qu'une personne inscrite n'occupait pas le logement. Il est vrai que certains arrêts de la chambre administrative résument les trois cas de figure visés par les ATA/329/2004 , ATA/727/2004 et ATA/718/2005 précités, par une phrase introductive générale faisant référence à des dérogations possibles au principe du domicile légal « lorsque le registre de l'OCPM ne refl[ète] pas la réalité pour des raisons que le locataire concerné ne maîtris[e] pas » ( ATA/1036/2019 du 18 juin 2019 consid. 5 ; ATA/898/2018 du 4 septembre 2018 consid. 4a ; ATA/20/2006 du 17 janvier 2006 consid. 3b). Or, au début de cette phrase, ces arrêts précisent d'emblée qu'il s'agit de cas « très rares » et font expressément référence aux trois arrêts précités de 2004 et de 2005. Ces derniers ont donné lieu à des dérogations dans des circonstances très particulières caractérisées par le fait qu'une stricte application du critère légal clair aurait conduit à un résultat choquant ne restituant pas le sens véritable de la disposition en cause, conformément à la jurisprudence fédérale susmentionnée permettant, en cas de raisons objectives, de déroger au sens littéral d'un texte légal clair. De plus, dans chacun de ces arrêts, l'OCLPF a été informé par les bénéficiaires des prestations de l'événement ayant conduit au litige tranché par l'ancien Tribunal administratif, que ce soit pour les deux affaires concernant la séparation d'un couple ou pour celle concernant la famille de demandeurs d'asile. Or, le présent cas n'entre pas dans ce type d'hypothèses exceptionnelles. Il s'agit plutôt d'un cas de figure soulignant l'importance de soumettre, sous réserve de circonstances exceptionnelles, les prestations sociales accordées par la LGL à un critère formel clair et objectif, comme l'est celui du domicile légal annoncé à l'OCPM. Un tel critère permet, d'une part, de concrétiser l'objectif recherché par le législateur, à savoir d'éviter des abus du système social en faisant bénéficier deux fois d'une aide des personnes à faible revenu aux frais de l'État, comme le rappelle l' ATA/329/2004 précité (consid. 6b). D'autre part, il permet à l'OCLPF de pouvoir traiter un nombre important de demandes, de manière fiable et dans le respect de l'égalité de traitement afin de répondre, dans les meilleurs délais, aux besoins des bénéficiaires de la LGL. Dès lors et sous réserve de circonstances exceptionnelles, il convient de ne pas s'écarter du critère légal clair ancré à l'art. 31C al. 1 let. f LGL. Dans la présente affaire, les recourants n'ont informé à aucun moment l'OCLPF du prétendu besoin de Mme E______ de bénéficier d'une adresse postale à leur domicile. Ils savaient aussi que le domicile officiel était un élément essentiel pour pouvoir bénéficier de la subvention personnalisée, vu en particulier leur propre expérience ressortant du courrier de l'OCLPF du 18 octobre 2017. De plus, les trois attestations concernant les revenus perçus par Mme E______, qu'ils ont produites début mars 2020 à la demande de l'OCLPF, démontrent que cette dernière utilisait leur adresse auprès des assurances sociales pour toucher des indemnités de chômages ou des prestations cantonales en cas de maladie. Le fait qu'ils puissent alléguer ne pas connaître le contenu des courriers destinés à Mme E______ ne les empêchaient pas de savoir que celle-ci utilisait leur adresse en tout cas jusqu'à janvier 2020, date de l'attestation de salaire/rente visée par la pièce 34 de l'autorité intimée. L'utilisation d'une adresse pendant une période de plus de deux ans ne peut être de bonne foi comprise que comme attestant de l'existence d'un domicile à ladite adresse. À cela s'ajoutent les déclarations divergentes des recourants au cours de la procédure. Le 22 janvier 2020, ils ont en effet expliqué à l'OCLPF que Mme E______ était une amie de longue date à laquelle ils avaient voulu rendre service en l'autorisant à s'inscrire auprès de l'OCPM à leur adresse pour recevoir son courrier. Dans leur recours du 31 août 2020, les recourants ont soutenu que Mme E______ était une simple « connaissance » de la recourante et que celle-ci ignorait que Mme E______ avait communiqué à l'OCPM l'adresse des recourants comme étant son domicile. Ils ont alors aussi prétendu avoir ignoré cet élément jusqu'à la réception du courrier de l'OCLPF du 14 mars 2019. Ils ont invoqué pour la première fois dans leur recours, de manière peu convaincante, que Mme E______ aurait vécu chez son ami, M. J______, depuis août 2017. Or, ce dernier ne l'a attesté à aucun moment. Le dossier contient deux attestations manuscrites de la mère de celui-ci, qui ne se présente pas comme telle dans la première, rédigée en janvier 2020, que les recourants ont transmis à l'OCLPF en mars 2020. Dans aucune de ces attestations, il n'est indiqué la date précise à partir de laquelle Mme E______ aurait habité à l'adresse de son ami à I______. Enfin, dans la mesure où Mme E______ aurait effectivement vécu auprès de M. J______ durant la période litigieuse, les recourants n'expliquent pas pour quelle raison elle n'aurait pas pu y recevoir son courrier, étant relevé qu'il est établi qu'elle a requis en février 2020 la modification de son domicile auprès de l'OCPM, à l'adresse de M. J______ à I______. Au vu de l'ensemble de ces éléments, aucun des éléments invoqués par les recourants ne permet de s'écarter du texte clair de l'art. 31C al. 1 let. f LGL, contrairement aux trois arrêts susmentionnés de 2004 et 2005. Il n'est donc pas nécessaire à l'issue du présent litige de clarifier les déclarations incohérentes des recourants ni de déterminer le domicile effectif de Mme E______. La chambre de céans renonce ainsi à donner suite aux auditions sollicitées, étant en outre précisé que les recourants ont pu exposer leurs arguments dans leur recours et leur réplique. Par conséquent, c'est à bon droit que l'OCLPF s'est fondé sur le registre de l'OCPM pour déterminer les personnes occupant le logement des recourants pour la période du 1 er septembre 2017 au 31 janvier 2020. Le recours sera donc rejeté et la décision de restitution litigieuse confirmée.</w:t>
      </w:r>
    </w:p>
    <w:p>
      <w:r>
        <w:rPr>
          <w:b/>
        </w:rPr>
        <w:t>E. 5</w:t>
      </w:r>
    </w:p>
    <w:p>
      <w:r>
        <w:t>5) Malgré l'issue du litige, il est renoncé à percevoir un émolument (art. 87 al. 1 LPA). Aucune indemnité de procédure ne sera allouée aux recourants qui succombent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