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A/261/2023 vom 24. Oktober 2023</w:t>
      </w:r>
    </w:p>
    <w:p>
      <w:r>
        <w:t>GE Cour de justice, 2023-10-24, FR</w:t>
      </w:r>
    </w:p>
    <w:p>
      <w:r>
        <w:rPr>
          <w:b/>
        </w:rPr>
        <w:t xml:space="preserve">Quelle: </w:t>
      </w:r>
      <w:r>
        <w:t>https://mcp.opencaselaw.ch/entscheid/ge_gerichte_A_261_2023</w:t>
      </w:r>
    </w:p>
    <w:p>
      <w:r>
        <w:t>FR: GE_GERICHTE A/261/2023 du 24 octobre 2023</w:t>
      </w:r>
    </w:p>
    <w:p>
      <w:r>
        <w:t>IT: GE_GERICHTE A/261/2023 del 24 ottobre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LAI.![endif]&gt;![if&gt; Sa compétence pour juger du cas d’espèce est ainsi établie.</w:t>
      </w:r>
    </w:p>
    <w:p>
      <w:r>
        <w:rPr>
          <w:b/>
        </w:rPr>
        <w:t>E. 2</w:t>
      </w:r>
    </w:p>
    <w:p>
      <w:r>
        <w:t>![endif]&gt;![if&gt;</w:t>
      </w:r>
    </w:p>
    <w:p>
      <w:r>
        <w:rPr>
          <w:b/>
        </w:rPr>
        <w:t>E. 2.1</w:t>
      </w:r>
    </w:p>
    <w:p>
      <w:r>
        <w:t>Aux termes de l’art. 51 LPGA, intitulé « procédure simplifiée », les prestations, créances et injonctions qui ne sont pas visées à l’art. 49 al. 1 LPGA peuvent être traitées selon une procédure simplifiée (al. 1). L’intéressé peut exiger qu’une décision soit rendue (al. 2).![endif]&gt;![if&gt;</w:t>
      </w:r>
    </w:p>
    <w:p>
      <w:r>
        <w:rPr>
          <w:b/>
        </w:rPr>
        <w:t>E. 2.2</w:t>
      </w:r>
    </w:p>
    <w:p>
      <w:r>
        <w:t>La prise de position de l'assureur selon la procédure informelle de l’art. 51 LPGA n'est pas susceptible d'opposition ou de recours. Les droits de l'assuré sont garantis par la possibilité d'exiger qu'une décision formelle soit rendue, en application de l’art. 51 al. 2 LPGA (arrêt du Tribunal fédéral 8C_340/2018 du 16 mai 2019 consid. 4.1 ; Valérie DÉFAGO GAUDIN, op. cit., n. 9 ad art. 51 LPGA).![endif]&gt;![if&gt; 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(cf. ATF 134 V 145 consid. 5.2 ; ATF 129 V 110 consid. 1.2.2). En présence d'une telle réaction de l'assuré, l'assureur a l'obligation de statuer par une décision formelle selon l'art. 49 LPGA (cf. art. 51 al. 2 LPGA). Si ce dernier ne rend pas de décision, le recours pour déni de justice est ouvert (art. 56 al. 2 LPGA).</w:t>
      </w:r>
    </w:p>
    <w:p>
      <w:r>
        <w:rPr>
          <w:b/>
        </w:rPr>
        <w:t>E. 3</w:t>
      </w:r>
    </w:p>
    <w:p>
      <w:r>
        <w:t>En l’occurrence, les six communications adressées le 3 juillet 2023 par l’intimé au conseil du recourant et de ses parents correspondent indubitablement à la notion de communications au sens de l’art. 51 LPGA.![endif]&gt;![if&gt;</w:t>
      </w:r>
    </w:p>
    <w:p>
      <w:r>
        <w:rPr>
          <w:b/>
        </w:rPr>
        <w:t>E. 4</w:t>
      </w:r>
    </w:p>
    <w:p>
      <w:r>
        <w:t>Se pose la question de savoir si, compte tenu desdites communications de l’office du 3 juillet 2023, le recours a réellement un objet, respectivement si l'assuré a un intérêt pour recourir contre la décision querellée.![endif]&gt;![if&gt;</w:t>
      </w:r>
    </w:p>
    <w:p>
      <w:r>
        <w:rPr>
          <w:b/>
        </w:rPr>
        <w:t>E. 5</w:t>
      </w:r>
    </w:p>
    <w:p>
      <w:r>
        <w:t>![endif]&gt;![if&gt;</w:t>
      </w:r>
    </w:p>
    <w:p>
      <w:r>
        <w:rPr>
          <w:b/>
        </w:rPr>
        <w:t>E. 5.1</w:t>
      </w:r>
    </w:p>
    <w:p>
      <w:r>
        <w:t>Conformément à l'art. 59 LPGA, quiconque est touché par la décision ou la décision sur opposition et a un intérêt digne d’être protégé à ce qu’elle soit annulée ou modifiée a qualité pour recourir.![endif]&gt;![if&gt;</w:t>
      </w:r>
    </w:p>
    <w:p>
      <w:r>
        <w:rPr>
          <w:b/>
        </w:rPr>
        <w:t>E. 5.2</w:t>
      </w:r>
    </w:p>
    <w:p>
      <w:r>
        <w:t>La notion d’intérêt digne de protection de l’art. 59 LPGA est la même que celle prévue dans la procédure fédérale de recours (ATF 130 V 388 consid. 2.2; ATAS/990/2018 du 25 octobre 2018 consid. 3; Jean MÉTRAL, in Commentaire romand, LPGA, 2018, n. 8 ad art. 59 LPGA).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130 V 196 consid. 3; ATAS/990/2018 précité consid. 3; Jean MÉTRAL, op. cit., n. 11 ad art. 59 LPGA).![endif]&gt;![if&gt;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voir également l'art. 25 al. 2 de la loi fédérale sur la procédure administrative du 20 décembre 1968 [PA - RS 172.021] en corrélation avec l'art. 5 al. 1 let. b PA).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142 V 2 consid. 1.1 et les arrêts cités).</w:t>
      </w:r>
    </w:p>
    <w:p>
      <w:r>
        <w:rPr>
          <w:b/>
        </w:rPr>
        <w:t>E. 5.3</w:t>
      </w:r>
    </w:p>
    <w:p>
      <w:r>
        <w:t>L’intérêt digne de protection ne doit pas se recouper avec l’intérêt protégé par la norme invoquée à l’appui du recours (ATF 133 V 188 consid. 4.3.1; Jean MÉTRAL, op. cit., n. 15 ad art. 59 LPGA). Savoir si un intérêt digne de protection existe ne dépend donc pas de la motivation du recours, mais plutôt des conclusions prises par le recourant. Dans le même ordre d’idée, l’intérêt au recours doit porter sur la modification ou sur l’annulation du dispositif de la décision et non uniquement sur une rectification de la motivation de la décision (ATF 131 II 587 consid. 4.2.1; Jean MÉTRAL, ibidem). Ainsi la partie recourante ne peut-elle en principe pas se prévaloir d’un intérêt digne de protection à la rectification du taux d’invalidité fixé dans la décision litigieuse, si la rectification n’entraîne aucun changement du droit à la rente. Demeurent réservées des circonstances particulières qui pourraient justifier une décision de constatation sur ce point (ATF 106 V 91 consid. 1; Jean MÉTRAL, ibidem).![endif]&gt;![if&gt;</w:t>
      </w:r>
    </w:p>
    <w:p>
      <w:r>
        <w:rPr>
          <w:b/>
        </w:rPr>
        <w:t>E. 6</w:t>
      </w:r>
    </w:p>
    <w:p>
      <w:r>
        <w:t>![endif]&gt;![if&gt;</w:t>
      </w:r>
    </w:p>
    <w:p>
      <w:r>
        <w:rPr>
          <w:b/>
        </w:rPr>
        <w:t>E. 6.1</w:t>
      </w:r>
    </w:p>
    <w:p>
      <w:r>
        <w:t>Le 1 er janvier 2022, les modifications de la LAI du 19 juin 2020 (développement continu de l'AI ; RO 2021 705) ainsi que celles du 3 novembre 2021 du règlement sur l'assurance-invalidité du 17 janvier 1961 (RAI – RS 831.201 ; RO 2021 706) sont entrées en vigueur.![endif]&gt;![if&gt; En l'absence de disposition transitoire spéciale – concernant ici les mesures médicales des art. 12 ss LAI dans les dispositions transitoires de la modification du 19 juin 2020 (développement continu de l’AI) –,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l'espèce, la décision querellée a certes été rendue postérieurement au 1 er janvier 2022. Toutefois, la demande de prestations ayant été déposée en juin 2020, sans qu’il y ait un délai d’attente prévu pour les mesures médicales au sens des art. 12 et 13 LAI (dans leur version en vigueur jusqu’au 31 décembre 2021 à tout le moins), le droit à de telles mesures est né antérieurement au 1 er janvier 2022, comme cela ressort du reste notamment des première et troisième communications du 3 juillet 2023 ( dies a quo le 22 mai 2020, respectivement le 4 mai 2020). Partant, les dispositions applicables seront citées dans leur teneur en vigueur depuis le 1 er janvier 2008 à tout le moins et jusqu'au 31 décembre 2021.</w:t>
      </w:r>
    </w:p>
    <w:p>
      <w:r>
        <w:rPr>
          <w:b/>
        </w:rPr>
        <w:t>E. 6.2</w:t>
      </w:r>
    </w:p>
    <w:p>
      <w:r>
        <w:t>À teneur de l’art. 12 LAI – dans sa version en vigueur avant le 31 décembre 2021 comme les autres articles cités ci-après –, intitulé « droit en général » et premier article sous « II. Les mesures médicales » (art. 12 à 14bis LAI) qui fait partie du point « C. Mesures de réadaptation et indemnités journalières »,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Le Conseil fédéral est autorisé à délimiter les mesures prévues à l’al. 1 par rapport à celles qui relèvent du traitement de l’affection comme telle. À cet effet, il peut notamment préciser la nature et l’étendue des mesures incombant à l’assurance et régler la naissance et la durée du droit aux prestations (al. 2). Conformément à l’art. 2 al.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adéquate.![endif]&gt;![if&gt; En vertu de l’art. 13 LAI, intitulé « droit en cas d’infirmité congénitale »,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 À cet égard, l’art. 8 al. 2 LAI précise que les assurés ont droit aux prestations prévues aux art. 13 et 21, quelles que soient les possibilités de réadaptation à la vie professionnelle ou à l’accomplissement de leurs travaux habituels. À teneur de l’art. 14 al. 1 LAI, les mesures médicales comprennent : le traitement entrepris dans un établissement hospitalier ou à domicile par le médecin ou, sur ses prescriptions, par le personnel paramédical, à l’exception de la logopédie et de la thérapie psychomotrice (let. a) ; les médicaments ordonnés par le médecin (let. b).</w:t>
      </w:r>
    </w:p>
    <w:p>
      <w:r>
        <w:rPr>
          <w:b/>
        </w:rPr>
        <w:t>E. 6.3</w:t>
      </w:r>
    </w:p>
    <w:p>
      <w:r>
        <w:t>S’agissant de l’ancien art. 13 LAI (tel qu’en vigueur jusqu’au 31 décembre 2021), en prenant en charge le traitement des infirmités congénitales des assurés âgés de moins de vingt ans révolus, l’AI encourage et finance dès le plus jeune âge la correction plus facile, plus efficace et moins coûteuse qu’ultérieurement de handicaps qui seront susceptibles d’entraver les assurés à l’âge adulte (Michel VALTERIO, Commentaire – Loi fédéral sur l’assurance-invalidité [LAI], 2018, n. 1 ad art. 13 LAI).![endif]&gt;![if&gt; Contrairement à ce que prévoit l’art. 12 LAI, le droit aux mesures de l’art. 13 LAI est ouvert sans égard aux futures possibilités de réadaptation à la vie professionnelle ou à l’accomplissement des travaux habituels (art. 8 al. 2 LAI). Leur but est de supprimer ou d’atténuer l’empêchement résultant de l’infirmité congénitale (arrêt du Tribunal fédéral 8C_881/2015 du 22 avril 2016 consid. 3.3 ; Michel VALTERIO, op. cit., n. 1 ad art. 13 LAI). En outre, par rapport à l’art. 12 LAI, le traitement de l’affection en tant que telle n’est pas exclu dans le cadre de l’art. 13 LAI. Cette disposition tient en effet compte du fait que les infirmités congénitales ne sont par définition ni des maladies, ni des accidents. La notion d’infirmité congénitale se trouve ainsi privilégiée dans le contexte de l’AI. Afin de garantir les principes de l’égalité devant la loi et de la sécurité du droit et comme le permet l’art. 13 al. 2 LAI, le Conseil fédéral a toutefois strictement délimité le champ d’application de l’art. 13 LAI dans l’OIC (ATF 122 V 113 consid. 3a/cc ; Michel VALTERIO, op. cit., n. 1 ad art. 13 LAI). Alors que l’art. 12 LAI octroie à tout assuré le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l'art. 13 LAI confère des droits plus étendus, en ce sens qu'il permet également la prise en charge par l’AI du traitement de l'affection comme telle, indépendamment des possibilités de réadaptation; il limite toutefois le cercle des bénéficiaires de ces prestations aux assurés de moins de 20 ans atteints d'infirmité congénitale. Il est donc possible qu'un assuré ne remplissant pas les conditions restrictives posées à l'art. 13 LAI - par exemple parce que l'affection dont il souffre n'est pas une infirmité congénitale au sens de cette disposition - puisse cependant prétendre des prestations limitées à des mesures médicales de réadaptation au sens de l'art. 12 LAI (arrêt du Tribunal fédéral I 64/01 du 20 février 2002 consid. 5a ; aussi Michel VALTERIO, op. cit., n. 1 ad art. 13 LAI). Ainsi, lorsque des mesures médicales ne peuvent pas être octroyées à un assuré mineur sous l'angle de l'art. 13 LAI, il y a lieu d'examiner si elles peuvent l'être sur la base de l'art. 12 LAI (arrêt du Tribunal fédéral I 309/05 du 1 er décembre 2005 consid. 2.3.1 ; ATAS/732/2023 du 27 septembre 2023 consid. 5.2). Lorsque les conditions des art. 12 et 13 LAI, sont réalisées, l’AI prend en charge, conformément à l’art. 14 LAI al. 1 let. a LAI, le traitement qui est entrepris par le médecin ou suivant ses instructions par un auxiliaire paramédical sous forme de soins hospitaliers ou de soins à domicile5, à l’exception de la logopédie et de la thérapie psychomotrice (Michel VALTERIO, op. cit., n. 5 ad art. 14 LAI). Au surplus, de nombreuses précisions sur la prise en charge des mesures médicales figurent aux chiffres 1200 et suivants de la circulaire sur les mesures médicales de réadaptation de l’AI (CMRM) de l’Office fédéral des assurances sociales (OFAS ; Michel VALTERIO, op. cit., n. 1 ad art. 14 LAI).</w:t>
      </w:r>
    </w:p>
    <w:p>
      <w:r>
        <w:rPr>
          <w:b/>
        </w:rPr>
        <w:t>E. 6.4</w:t>
      </w:r>
    </w:p>
    <w:p>
      <w:r>
        <w:t>Il semble que dans le cadre du nouveau droit – en vigueur à partir du 1 er janvier 2022 –, les mesures médicales selon le nouvel art. 12 LAI diffèrent désormais de celles en vertu du nouvel art. 13 LAI (cf., à ce sujet, Message du Conseil fédéral concernant la modification de la loi fédérale sur l’assurance-invalidité [Développement continu de l’AI] du 15 février 2017, FF 2017 2363, en particulier p. 2409 et 2474 à 2479). Notamment, le nouvel art. 12 LAI a pour titre « droit à des mesures médicales dans un but de réadaptation » et le nouvel art. 13 LAI « droit à des mesures médicales pour le traitement des infirmités congénitales », et, en outre, conformément au nouvel art. 14ter LAI, le Conseil fédéral – en particulier dans le RAI – détermine : les conditions auxquelles doivent satisfaire les mesures médicales de réadaptation au sens de l’art. 12 al. 3 LAI (let. a) ; les infirmités congénitales donnant droit à des mesures médicales en vertu de l’art. 13 LAI (let. b) ; les prestations de soins dont le coût est pris en charge (let. c).![endif]&gt;![if&gt; À teneur du Message précité, le titre du nouvel art. 12 LAI est adapté afin de préciser que les mesures médicales visées ici ont pour but la réadaptation professionnelle ; cette adaptation met également en évidence la distinction avec les mesures médicales pour le traitement de l’affection en tant que telle (à savoir l’infirmité congénitale), qui sont réglées à l’art. 13 LAI ; le titre «droit en cas d’infirmité congénitale» du nouvel art. 13 LAI est quant à lui remplacé par «droit à des mesures médicales pour le traitement des infirmités congénitales», afin de préciser que cet article porte uniquement sur le traitement médical et non sur les mesures médicales de réadaptation (art. 12 LAI ; FF 2017 2474 et 2475).</w:t>
      </w:r>
    </w:p>
    <w:p>
      <w:r>
        <w:rPr>
          <w:b/>
        </w:rPr>
        <w:t>E. 7</w:t>
      </w:r>
    </w:p>
    <w:p>
      <w:r>
        <w:t>![endif]&gt;![if&gt;</w:t>
      </w:r>
    </w:p>
    <w:p>
      <w:r>
        <w:rPr>
          <w:b/>
        </w:rPr>
        <w:t>E. 7.1</w:t>
      </w:r>
    </w:p>
    <w:p>
      <w:r>
        <w:t>Dans le cas présent, les six communications adressées le 3 juillet 2023 au conseil du recourant et de ses parents suppose la reconnaissance par l’intimé d’un droit de l’enfant aux mesures médicales selon l’art. 13 LAI, reconnaissance implicite qui a la même portée qu’une décision et sur la base de laquelle lesdites communications ont été établies (comme cela ressort du courrier de l’OAI à la chambre de céans du 4 juillet 2023).![endif]&gt;![if&gt;</w:t>
      </w:r>
    </w:p>
    <w:p>
      <w:r>
        <w:rPr>
          <w:b/>
        </w:rPr>
        <w:t>E. 7.2</w:t>
      </w:r>
    </w:p>
    <w:p>
      <w:r>
        <w:t>Le recourant, dans son écriture du 24 juillet 2023, s’en rapporte à justice quant à la suite à donner à l’écrit de l’intimé du 4 juillet 2023 et compte tenu desdites six communications, et il ne conteste pas être mis par ces communications, prononcées sur la base de l’art. 13 LAI, dans une position au moins aussi favorable que si elles l’étaient en application de l’art. 12 LAI. Néanmoins, vu sa phrase commençant par « Si par impossible (…) », il souhaite apparemment, par prudence, que cette question soit tranchée par la chambre des assurances sociales.![endif]&gt;![if&gt; De surcroît, comme confirmé le 9 octobre 2023, l’assuré n’a pas contesté lesdites communications du 3 juillet 2023.</w:t>
      </w:r>
    </w:p>
    <w:p>
      <w:r>
        <w:rPr>
          <w:b/>
        </w:rPr>
        <w:t>E. 7.3</w:t>
      </w:r>
    </w:p>
    <w:p>
      <w:r>
        <w:t>Or il découle des considérations juridiques émises plus haut que, sous l’ancien droit – celui en vigueur jusqu’au 31 décembre 2021 –, un mineur auquel est reconnu un droit aux mesures médicales conformément à l’art. 13 LAI bénéficie à ce titre de prestations au moins aussi étendues que celles qui auraient été octroyées sous l’angle de l’art. 12 LAI.![endif]&gt;![if&gt; Rien ne permet de penser que tel ne serait pas le cas en l’espèce.</w:t>
      </w:r>
    </w:p>
    <w:p>
      <w:r>
        <w:rPr>
          <w:b/>
        </w:rPr>
        <w:t>E. 7.4</w:t>
      </w:r>
    </w:p>
    <w:p>
      <w:r>
        <w:t>Dans ces circonstances, le recourant n’a plus un intérêt digne de protection à recourir (art. 59 LPGA), et la cause est devenue sans objet.![endif]&gt;![if&gt; Cette issue ne se rapporte qu’à l’état de fait et au droit de l’enfant tels que faisant suite à la demande déposée le 2 juin 2020 par sa mère, dans le cadre du droit en vigueur jusqu’au 31 décembre 2021. Ladite issue au présent litige n’exclut pas l’hypothèse que l’assuré aurait pu le cas échéant avoir droit aux mesures médicales selon l’ancien art. 12 LAI, ni, non plus, que, dans le futur, le cas échéant, il puisse fait valoir des droits à des mesures médicales en application des nouveaux art. 12 ss LAI (dans leur version en vigueur à partir du 1 er janvier 2022).</w:t>
      </w:r>
    </w:p>
    <w:p>
      <w:r>
        <w:rPr>
          <w:b/>
        </w:rPr>
        <w:t>E. 8</w:t>
      </w:r>
    </w:p>
    <w:p>
      <w:r>
        <w:t>Vu ce qui précède, il y a lieu de constater que le recours est devenu sans objet et de rayer la cause du rôle.![endif]&gt;![if&gt;</w:t>
      </w:r>
    </w:p>
    <w:p>
      <w:r>
        <w:rPr>
          <w:b/>
        </w:rPr>
        <w:t>E. 9</w:t>
      </w:r>
    </w:p>
    <w:p>
      <w:r>
        <w:t>Les six communications du 3 juillet 2023 précitées (sous l’angle de l’art. 13 LAI) ayant chronologiquement fait suite au recours interjeté le 25 janvier 2023 bien que dans une procédure parallèle, les arguments énoncés par le recourant dans le cadre de la présente procédure de recours ont pu avoir une influence en faveur du prononcé desdites communications, de sorte qu’une indemnité de dépens de CHF 1'500.- sera allouée au recourant, représenté par un avocat, à la charge de l’intimé (cf. art. 61 let. g LPGA ; art. 6 du règlement sur les frais, émoluments et indemnités en matière administrative du 30 juillet 1986 [RFPA - E 5 10.03]).![endif]&gt;![if&gt;</w:t>
      </w:r>
    </w:p>
    <w:p>
      <w:r>
        <w:rPr>
          <w:b/>
        </w:rPr>
        <w:t>E. 10</w:t>
      </w:r>
    </w:p>
    <w:p>
      <w:r>
        <w:t>Bien que la procédure ne soit en principe pas gratuite (art. 69 al. 1bis LAI), mais compte tenu des circonstances particulières, il sera renoncé à la perception d’un émolument.![endif]&gt;![if&gt;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