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A/2608/2015 vom 8. März 2016</w:t>
      </w:r>
    </w:p>
    <w:p>
      <w:r>
        <w:t>GE Cour de justice, 2016-03-08, FR</w:t>
      </w:r>
    </w:p>
    <w:p>
      <w:r>
        <w:rPr>
          <w:b/>
        </w:rPr>
        <w:t xml:space="preserve">Quelle: </w:t>
      </w:r>
      <w:r>
        <w:t>https://mcp.opencaselaw.ch/entscheid/ge_gerichte_A_2608_2015</w:t>
      </w:r>
    </w:p>
    <w:p>
      <w:r>
        <w:t>FR: GE_GERICHTE A/2608/2015 du 8 mars 2016</w:t>
      </w:r>
    </w:p>
    <w:p>
      <w:r>
        <w:t>IT: GE_GERICHTE A/2608/2015 del 8 marzo 2016</w:t>
      </w:r>
    </w:p>
    <w:p>
      <w:pPr>
        <w:pStyle w:val="Heading2"/>
      </w:pPr>
      <w:r>
        <w:t>Erwägungen</w:t>
      </w:r>
    </w:p>
    <w:p>
      <w:r>
        <w:rPr>
          <w:b/>
        </w:rPr>
        <w:t>E. 2</w:t>
      </w:r>
    </w:p>
    <w:p>
      <w:r>
        <w:t>Sont pris en considération pour effectuer le calcul des dépenses reconnues prescrit à l’al. 1 : a. pour les personnes vivant à domicile : comme loyer, le montant maximal respectif au sens de l’art. 10 al. 1 let. b, LPC ; b. pour les personnes vivant dans un home ou dans un hôpital: un montant de 4800 francs par an pour les dépenses personnelles ; c. 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w:t>
      </w:r>
    </w:p>
    <w:p>
      <w:r>
        <w:rPr>
          <w:b/>
        </w:rPr>
        <w:t>E. 3</w:t>
      </w:r>
    </w:p>
    <w:p>
      <w:r>
        <w:t>L’imputation de la fortune des personnes vivant dans un home ou dans un hôpital s’élève à un quinzième ; pour les bénéficiaires de rente de vieillesse vivant dans un home ou dans un hôpital, elle équivaut à un dixième. Pour un invalide partiel, seul le revenu effectivement réalisé est pris en considération. Une éventuelle limite cantonale pour les frais de home n’est pas prise en considération.</w:t>
      </w:r>
    </w:p>
    <w:p>
      <w:r>
        <w:rPr>
          <w:b/>
        </w:rPr>
        <w:t>E. 4</w:t>
      </w:r>
    </w:p>
    <w:p>
      <w:r>
        <w:t>Sont prises en considération les dépenses supplémentaires suivantes : a. 8000 francs pour les personnes seules ; b. 12 000 francs pour les couples ; c. 4000 francs pour les enfants ayant droit à une rente d’orphelin ou donnant droit à une rente pour enfant de l’AVS ou de l’AI. Le recourant ne conteste aucunement et rien dans le dossier ne vient remettre en question qu’au sens de la LPC (RS 831.30), à fin décembre 2014, ses dépenses reconnues étaient de CHF 45'966,00 – somme constituée de CHF 19'201,- au titre des besoins vitaux (art. 10 al. 1 let. a ch. 1 LPC), de CHF 12'600.- au titre du loyer (art. 10 al. 1 let. b ch. 1 LPC CHF 2'100.- x 12 mois / 2 personnes¨), d’un supplément de CHF 8'000.- (art. 5 al. 4 let. a OPGA) et d’une prime forfaitaire d’assurance-maladie de CHF 6'156.- (art. 5 al. 2 let. c OPGA) –, tandis que son revenu déterminant était de CHF 88'077.65 (montant constitué de CHF 27'408.- de rente AVS (art. 11 al. 1 let. d LPC), de CHF 60'602.90 de rente LPP (art. 11 al. 1 let. d LPC) et de CHF 66.75 d’intérêts de l’épargne (art. 11 al. 1 let. b LPC). Non seulement les dépenses reconnues et les dépenses supplémentaires du recourant ne sont pas supérieures à ses revenus déterminants, mais encore ceux-ci sont nettement supérieurs auxdites dépenses, en tant qu’ils laissent un surplus de CHF 42'111.65. d. La condition de l’exposition à une situation difficile n’est pas remplie. Quelque regrettable qu’ait été la continuation, durant sept mois, du versement d’un subside d’assurance-maladie non dû, de surcroît alors que son bénéficiaire intervenait chaque mois pour le signaler, l’intimé ne pouvait faire autrement que de rejeter la demande de remise de l’obligation de restituer considérée. Le recours doit être rejeté. e. Peut-être que l’intimé, conscient du caractère indu dudit subside durant ces sept mois, a eu la sagesse et la diligence de ne pas dépenser lesdits subsides, et qu’il peut donc les rembourser en un seul versement. Il est néanmoins rappelé que l’intimé, ainsi qu’il l’a fait dans ses diverses décisions, n’exclut pas d’accorder des facilités de paiement, notamment par un échelonnement de la dette, sur demande du débiteur. 4.        La procédure est gratuite (art. 89H al. 1 phr. 1 LPA). ![endif]&gt;![if&gt; * * * * * *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