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A/2599/2019 vom 18. Mai 2021</w:t>
      </w:r>
    </w:p>
    <w:p>
      <w:r>
        <w:t>GE Cour de justice, 2021-05-18, FR</w:t>
      </w:r>
    </w:p>
    <w:p>
      <w:r>
        <w:rPr>
          <w:b/>
        </w:rPr>
        <w:t xml:space="preserve">Quelle: </w:t>
      </w:r>
      <w:r>
        <w:t>https://mcp.opencaselaw.ch/entscheid/ge_gerichte_A_2599_2019</w:t>
      </w:r>
    </w:p>
    <w:p>
      <w:r>
        <w:t>FR: GE_GERICHTE A/2599/2019 du 18 mai 2021</w:t>
      </w:r>
    </w:p>
    <w:p>
      <w:r>
        <w:t>IT: GE_GERICHTE A/2599/2019 del 18 maggio 2021</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De jurisprudence constante, les questions de droit matériel sont résolues en fonction du droit en vigueur lors des périodes fiscales litigieuses ( ATA/162/2021 du 9 février 2021 consid. 2b ; ATA/191/2020 du 18 février 2020 consid. 4b et les références citées). b. Le présent litige concernant la période fiscale 2013, la cause est régie par le droit en vigueur durant cette période, à savoir respectivement les dispositions de la LIFD, de la loi fédérale sur l'harmonisation des impôts directs des cantons et des communes du 14 décembre 1990 (LHID - RS 642.14) et celles de loi sur l'imposition des personnes morales du 23 septembre 1994 (LIPM - D 3 15). Par ailleurs, la question étant traitée de la même manière en droit fédéral et en droit cantonal harmonisé, le présent arrêt traite simultanément des deux impôts, comme l'admet la jurisprudence (ATF 135 II 260 ; ATA/162/2021 précité consid. 2d). 3) La recourante sollicite l'audition de trois témoins et qu'il lui soit réservé le droit de solliciter une expertise sur la valeur de sa clientèle. a. Tel qu'il est garanti par l'art. 29 al. 2 de la Constitution fédérale suisse du 18 avril 1999 (Cst. - RS 101), le droit d'être entendu comprend notamment le droit pour l'intéressé d'offrir des preuves pertinentes et d'obtenir qu'il y soit donné suite (ATF 142 III 48 consid. 4.1.1 ; 144 I 11 consid. 5.3). Ce droit n'empêche pas le juge de renoncer à l'administration de certaines preuves et de procéder à une appréciation anticipée de celles-ci, s'il acquiert la certitude qu'elles ne l'amèneront pas à modifier son opinion (ATF 145 I 167 consid. 4.1. ; 140 I 285 consid. 6.3.1). En outre, il n'implique pas le droit d'obtenir l'audition de témoins (ATF 130 II 425 consid. 2.1). b. En l'espèce, il ressort de ses écritures que la recourante souhaite faire entendre des témoins pour qu'ils puissent notamment exposer comment se forme la clientèle d'une entreprise de transport, quelle est sa valeur et si ladite clientèle peut être considérée comme un actif de l'entreprise. Or, la recourante a produit à l'appui de sa réplique trois attestations signées par les témoins qu'elle souhaite faire entendre, dans lesquelles ceux-ci ont précisément fait état de leur position sur lesdites questions. La recourante a par ailleurs pu s'exprimer dans ses écritures au cours de la procédure de réclamation devant l'AFC-GE, puis de recours devant le TAPI et la chambre de céans. Elle a eu l'occasion de faire valoir ses arguments et produire toute pièce utile. Par ailleurs, l'expertise sollicitée par la recourante n'apparaît pas nécessaire pour établir la valeur du transfert d'activité, pour les raisons qui seront développées ci-après. Dans ces circonstances, et la chambre de céans étant en possession d'un dossier complet, qui contient les éléments pertinents pour trancher le litige, il ne sera pas procédé aux actes d'instruction sollicités. 4) Le litige porte sur la conformité au droit de la reprise effectuée dans le bénéfice pour l'année 2013 de la recourante par l'AFC-GE de CHF 16'117'762.- ramenée devant le TAPI à CHF 8'440'038.- au motif de l'existence d'une prestation appréciable en argent en faveur de M. B______. 5)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ème tiret). Selon l'art. 24 al. 1 let. a LHID, l'impôt sur le bénéfice a pour objet l'ensemble du bénéfice net, y compris les charges non justifiées par l'usage commercial, portées au débit du compte de résultats. Cette règle est concrétisée en droit genevois par l'art. 12 let. a et d LIPM, qui correspond sur ce point à l'art. 58 al. 1 let. a et b LIFD. 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arrêts du Tribunal fédéral 2C_181/2020 du 10 août 2020 consid. 5.2 ; 2C_674/2015 du 26 octobre 2017 consid. 7.1 ; 2C_124/2016 du 31 janvier 2017 consid. 6.1). Il convient ainsi d'examiner si la prestation aurait été accordée dans la même mesure à un tiers étranger à la société, soit si la transaction a respecté le principe de pleine concurrence (« dealing at arm's length » ; ATF 140 II 88 consid. 4.1 ; 138 II 57 consid. 2.2).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2C_834/2011 du 6 juillet 2012 consid. 2.3).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6) a. 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 b.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2C_674/2015 du 26 octobre 2017 consid. 7.2). Cette méthode correspond à la méthode du prix comparable sur le marché libre présentée dans les principes de l'organisation de coopération et de développement économiques (ci-après : OCDE) applicables en matière de prix de transfert à l'intention des entreprises multinationales et des administrations fiscales (édition juillet 2010 ; ci-après : principes OCDE ; n. 2.13 ss). Pour que cette méthode soit applicable, la transaction intervenue avec un tiers ou entre tiers doit être similaire à la transaction examinée, c'est-à-dire avoir été conclue dans des circonstances comparables à celle-ci. La notion de « transaction comparable » n'est toutefois pas aisée à circonscrire. La pertinence de la comparaison avec des transactions conclues avec des tiers suppose que les circonstances économiques déterminantes de ces transactions soient similaires avec celles de la transaction examinée (principes OCDE, n. 1.33 ss). Le caractère comparable des transactions se détermine selon leur nature et en fonction de l'ensemble des circonstances du cas d'espèce.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w:t>
      </w:r>
    </w:p>
    <w:p>
      <w:r>
        <w:rPr>
          <w:b/>
        </w:rPr>
        <w:t>E. 14</w:t>
      </w:r>
    </w:p>
    <w:p>
      <w:r>
        <w:t>janvier 2015 consid. 5.2 et les références citées). c. À défaut de transaction comparable, l'examen du respect du principe de pleine concurrence se fonde alors sur une valeur hypothétique déterminée selon d'autres méthodes, telles que la méthode du coût majoré (« cost plus ») qui consiste à déterminer les coûts supportés par la société qui fournit la prestation, à quoi s'ajoute une marge appropriée de manière à obtenir un bénéfice approprié compte tenu des fonctions exercées et des conditions du marché ou, dans le contexte d'opérations commerciales telles que la distribution de biens, celle du prix de revente (ATF 140 II 88 consid. 4.2 ; arrêts du Tribunal fédéral 2C_11/2018 du 10 décembre 2018 consid. 7.4 ; 2C_1082/2013 précité consid. 5.2 ; OCDE, Principes, § 2.21 ss et 2.39 ss). S'agissant plus précisément des titres non cotés, les instructions concernant l'estimation des titres non cotés en vue de l'impôt sur la fortune de la circulaire n° 28, qui ne constituent pas du droit fédéral en tant que directives, sont toutefois reconnues, de jurisprudence constante, comme présentant une méthode adéquate et fiable pour l'estimation des titres, non seulement en ce qui concerne l'impôt sur la fortune, mais également lorsqu'il s'agit de procéder à l'estimation de la valeur vénale de titres non cotés dans le contexte de l'impôt sur le bénéfice et l'impôt sur le revenu (arrêts du Tribunal fédéral 2C_1082/2013 précité consid. 5.3.1 ; 2C_1168/2013 du 30 juin 2014 consid. 3.6 et les références citées). Toutefois, le Tribunal fédéral n'exclut pas que d'autres méthodes d'évaluation reconnues puissent, isolément, s'avérer appropriées. 7)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 er décembre 2020 consid. 3c).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ATA/1223/2020 précité consid. 3d et les références citées). b.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8) a. Édictée par la Conférence suisse des impôts (ci-après : CSI), qui regroupe les administrations fiscales cantonales et l'administration fédérale des contributions (ci-après : AFC-CH), la circulaire n° 28, qui porte sur l'estimation des titres non cotés en vue de l'impôt sur la fortune, a fait l'objet de plusieurs éditions depuis les années 1940, dont la dernière date du 28 août 2008, laquelle est ainsi applicable à la période fiscale 2013 faisant l'objet du présent litige. La CSI édite annuellement un commentaire à la circulaire n° 28, la dernière version datant de 2020 (ci-après : commentaire 2020). b. La circulaire n° 28 a pour objectif l'estimation uniforme en Suisse, pour l'impôt sur la fortune, des titres nationaux et étrangers qui ne sont négociés dans aucune bourse, et sert à l'harmonisation fiscale intercantonale (ch. 1 § 1 de la circulaire n° 28).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2020 p. 2 ad. ch. 1). c. L'activité effective d'une société détermine son mode d'estimation (ch. 6 de la circulaire n°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étant précisé que, même si elles se révèlent importantes, des fluctuations de rendement ne justifient pas de déroger à ce principe, dès lors que des oscillations conjoncturelles sont à considérer comme immanentes au système économique (commentaire 2019 ch. 34 p. 48). Cette méthode est généralement appelée « méthode des praticiens » (arrêt du Tribunal fédéral 2C_953/2019 du 14 avril 2020 consid. 4.3). La valeur de rendement s'obtient par la capitalisation du bénéfice net des exercices déterminants augmenté ou diminué des reprises ou déductions (ch. 8.1 de la circulaire n° 28). 9) a. En l'espèce, les différents éléments du dossier rappelés par le TAPI ne laissent aucun doute quant à l'existence d'une prestation appréciable en argent de la part de la recourante. Quoi qu'en dise la recourante, il est manifeste qu'un transfert d'activité a eu lieu entre elle et l'entreprise individuelle de M. C______, soit le fils de son actionnaire unique. Ledit transfert ressort d'ailleurs implicitement des explications apportées par la recourante. En effet, celle-ci a exposé que M. B______ avait décidé, en 1996, de séparer en deux l'activité qu'il avait exercée jusqu'alors dans son entreprise individuelle et de lui confier l'exploitation des moyens de transport détenus par son entreprise. Elle avait été créée dans ce but. La recourante explique encore qu'à la suite de la notification des bordereaux de rappel d'impôt et d'amende liés aux exercices 2002 à 2010, MM. C______ et B______ décidèrent de retourner au statu quo ante et de cesser de lui confier l'exploitation des moyens de transport. Elle précise encore que les contrats de travail des trente-six collaborateurs ont alors été repris par l'entreprise de M. C______. Malgré ses dénégations, force est de constater qu'en sus desdits contrats de travail, c'est toute son activité elle-même (à l'exception des activités relevant du transport de béton frais), y compris sa clientèle et ses contrats, qui ont été transférés à l'entreprise précitée. S'il est exact que M. C______ avait une bonne connaissance de la clientèle étant actif dans le même domaine d'activité sans avoir à puiser « dans ses listes protégées par le secret des affaires » comme l'allègue la recourante, cette connaissance découle principalement du fait qu'il en était l'administrateur secrétaire jusqu'au 23 avril 2013. Nonobstant, il apparaît plus que manifeste que les clients dont les contrats n'ont plus pu être honorés, du jour au lendemain, par la recourante, l'ont été par l'entreprise de M. C______, avec lequel la clientèle était d'ailleurs déjà en affaire. Ces constatations sont confirmées par la diminution vertigineuse du chiffre d'affaires de la recourante (CHF 11'187'995.33 en 2012, CHF 5'985'513.25 en 2013 et CHF 170'416.65 en 2014) laquelle correspond à une augmentation quasi parallèle du chiffre d'affaires de l'entreprise de M. C______ (CHF 1'233'502.70 en 2012, CHF 6'605'183.58 en 2013 et CHF 10'079'736.62 en 2014). La recourante ne saurait être suivie lorsqu'elle allègue que son administrateur M. B______ n'avait d'autre choix que d'accepter, pour « limiter les dégâts », que les contrats de travail soient repris par l'entreprise de M. C______. En effet, celle-ci aurait pu tenter de louer auprès d'autres entreprises ou d'acquérir les camions dont elle avait besoin pour poursuivre son activité, ce qui aurait été envisageable au vu des liquidités et du bénéfice dont elle disposait à la fin de l'année 2012. Cette possibilité, qui lui aurait probablement permis de conserver ses employés et ses clients ainsi que de s'acquitter de ses dettes d'impôt, ne semble même pas avoir été envisagée, la continuité de ses activités n'étant manifestement pas le but recherché. Par ailleurs, la question de savoir si un tiers aurait pu ou non résilier abruptement les contrats de location des camions n'est pas déterminante. S'il est exact que rien n'empêchait MM. C______ et B______, sur le plan légal, de cesser de louer leurs camions à la recourante, force est de constater que cette décision a manifestement été prise, eu égard à la chronologie des événements, dans le but de transférer le chiffre d'affaires dans une autre entreprise et d'éviter ainsi le paiement des bordereaux de rappel d'impôt et d'amende liés aux exercices 2002 à 2010. Par ailleurs, une cession d'une telle valeur au vu du chiffre d'affaires qui en a découlé pour l'entreprise de M. C______ , n'aurait manifestement jamais été faite à un tiers sans aucune contrepartie. Pour les mêmes motifs, il apparaît que le caractère manifeste de la disproportion entre la prestation consentie et l'absence de contre-prestation était clairement reconnaissable. b. Reste à définir la méthode à appliquer pour déterminer le montant de la prestation appréciable en argent. À titre préalable, il convient de relever que l'on ne se trouve pas dans une situation où il existe un marché libre permettant une comparaison effective, ni dans le cas où une transaction comparable aurait eu lieu entre des tiers, permettant alors de procéder selon la méthode de la comparaison, ce que les parties ne contestent au demeurant pas. Dans ces circonstances, l'examen du respect du principe de pleine concurrence devait se fonder sur une valeur hypothétique déterminée selon une autre méthode. In casu, l'AFC-GE a choisi de déterminer la valeur de la prestation litigieuse en comparant la valeur de la recourante avant et après le transfert de ses activités et de sa clientèle en faveur de l'entreprise individuelle de M. C______. Elle s'est fondée, pour déterminer la valeur de ses titres, sur la circulaire n° 28. Malgré ce qu'allègue la recourante, la jurisprudence susmentionnée considère que les instructions figurant dans ladite circulaire constituent une méthode adéquate et fiable pour l'estimation des titres même lorsqu'il s'agit de procéder à l'estimation de la valeur vénale de titres non cotés dans le contexte de l'impôt sur le bénéfice. À défaut d'autre méthode de comparaison, la méthode utilisée par l'AFC-GE apparaît conforme au droit. La recourante, qui critique cette méthode, se contente pour sa part d'affirmer qu'il convient de renvoyer le dossier à l'AFC-GE pour qu'elle procède à « une évaluation de la valeur de la clientèle selon des normes reconnues dans la pratique », l'audition des témoins et une expertise sur ladite valeur. Elle ne donne toutefois aucune précision sur ce que seraient, selon elle, « les normes reconnues dans la pratique ». De même, la chambre de céans considère que les auditions requises ne permettraient pas d'aboutir à une meilleure méthode pour fixer la prestation litigieuse. En effet, à teneur des attestations remises par la recourante, les personnes dont elle sollicite l'audition, à savoir des dirigeants d'entreprises de transport ou de construction, considèrent qu'il n'existe aucune valeur pour la clientèle d'une entreprise de transport. Or, la chambre de céans est d'avis, pour les raisons susmentionnées, que le transfert litigieux représentait au contraire une valeur financière importante. La recourante ne donne pas plus d'explication sur l'expertise qu'elle voudrait voir mettre en oeuvre pour l'estimation de la valeur du transfert d'activité. S'agissant du calcul effectué par l'AFC-GE, la recourante considère que la référence à la valeur fiscale de ses actions au 31 décembre 2010, calculée en application de la circulaire n° 28, serait arbitraire, dès lors que cela ne permettrait pas de mesurer la valeur de son goodwill au 30 juin 2013. Ce faisant, la recourante semble perdre de vue que dans le cadre de ses écritures devant le TAPI, l'AFC-GE a produit un nouveau calcul de la valeur fiscale effectué au 31 décembre 2012, conformément à la circulaire n° 28, en prenant en compte le résultat moyen annuel des années 2010 à 2012. Elle a également pris en compte, dans le cadre de la fixation de la prestation, la déduction pour impôt. Elle a, pour ces raisons, modifié en faveur de la recourante le montant de la reprise effectuée de CHF 16'117'762.- à CHF 8'440'038.- , comme il lui en a été donné acte par le TAPI. Il sera précisé que même à admettre que la recourante serait une société de service et non de transport comme elle le prétend, la méthode d'évaluation de sa valeur serait restée la même conformément à la circulaire n° 28, soit la moyenne pondérée entre la valeur de rendement doublée et la valeur substantielle. Pour le surplus, l'AFC-GE a fait la démonstration d'un second calcul permettant de fixer le montant de la prestation appréciable en argent, visant à comparer la différence entre le chiffre d'affaires réalisé par M. C______ en 2012 (CHF 1'233'502.70), soit avant le transfert de l'activité de la recourante, et celui que celui-ci avait réalisé en 2014 (CHF 10'079'736.62), soit après ledit transfert. Le montant auquel ce calcul aboutit, soit CHF 8'846'228.92, permet effectivement de confirmer que la reprise fixée en dernier lieu par l'AFC-GE à CHF 8'440'038.- est rationnelle. La recourante n'oppose pour sa part aucun autre calcul qui permettrait d'évaluer de manière plus précise le montant de la prestation appréciable en argent effectuée. 10) Dans un raisonnement subsidiaire, la recourante relève que s'il devait être considéré qu'elle a transféré à son actionnaire son activité, il faudrait appréhender l'opération sous l'angle d'une restructuration en neutralité fiscale, permettant de transférer les réserves latentes d'une personne morale à une entreprise de personne. a. À teneur des art. 61 al. 1 let. a LIFD, 24 al. 3 let. a LHID et 16 al. 1 let. a LIPM, les réserves latentes d'une personne morale ne sont pas imposées lors de restructurations, notamment en cas de transformation en une société de personnes ou en une autre personne morale, pour autant que la personne morale reste assujettie à l'impôt en Suisse et que les éléments commerciaux soient repris à leur dernière valeur déterminante pour l'impôt sur le bénéfice. b. La doctrine précise concernant l'art. 61 al. 1 let. a LIFD que l'élément caractéristique, du point de vue fiscal, réside dans le fait qu'une personne morale change de forme juridique tout en maintenant son activité (Pierre-Marie GLAUSER/Xavier OBERSON in Henry PETER/Rita TRIGO TRINDADE [éd.], Commentaire de la loi fédérale sur la fusion, la scission, la transformation et le transfert de patrimoine ainsi que des dispositions des lois fédérales modifiées par la LFus, ad. art. 61 LIFD n. 14). c. Le Tribunal fédéral a déjà eu l'occasion de relever que lors de la transformation envisagée par l'art. 24 al. 3 let. a LHID, l'élément caractéristique résidait dans le fait qu'une personne morale change de forme juridique tout en maintenant son activité. Il a considéré que n'était pas une opération de ce type celle qui avait eu lieu dans le cas qui lui était soumis puisque le transfert de patrimoine concernait deux personnes morales qui avaient conservé leur forme juridique respective. Dans ces conditions, il n'y avait pas de restructuration au sens de l'art. 24 al. 3 let. a LHID (ATF 138 II 557 consid. 6.3). 11) En l'espèce, comme relevé à juste titre tant par l'AFC-GE que par le TAPI, la recourante n'a pas changé de forme dans le cadre de l'opération visant à transférer ses employés et ses contrats à l'entreprise individuelle de M. C______, de sorte qu'il ne peut y avoir de transformation au sens des dispositions légales précitées. Par ailleurs, le titulaire des actions de la recourante était M. B______ et non M. C______. Or, c'était bien en faveur de ce dernier et de son entreprise individuelle que le transfert a eu lieu en 2013. L'opération litigieuse ne rentre dès lors pas dans le cadre d'une restructuration au sens large. Dès lors, c'est à bon droit que le TAPI a considéré qu'il ne pouvait être donné droit à la conclusion subsidiaire de la recourante. Compte tenu de ce qui précède, le recours sera rejeté et le jugement querellé intégralement confirmé. 12) Au vu de cette issue,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