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A/2596/2019 vom 3. Dezember 2019</w:t>
      </w:r>
    </w:p>
    <w:p>
      <w:r>
        <w:t>GE Cour de justice, 2019-12-03, FR</w:t>
      </w:r>
    </w:p>
    <w:p>
      <w:r>
        <w:rPr>
          <w:b/>
        </w:rPr>
        <w:t xml:space="preserve">Quelle: </w:t>
      </w:r>
      <w:r>
        <w:t>https://mcp.opencaselaw.ch/entscheid/ge_gerichte_A_2596_2019</w:t>
      </w:r>
    </w:p>
    <w:p>
      <w:r>
        <w:t>FR: GE_GERICHTE A/2596/2019 du 3 décembre 2019</w:t>
      </w:r>
    </w:p>
    <w:p>
      <w:r>
        <w:t>IT: GE_GERICHTE A/2596/2019 del 3 dicembre 2019</w:t>
      </w:r>
    </w:p>
    <w:p>
      <w:pPr>
        <w:pStyle w:val="Heading2"/>
      </w:pPr>
      <w:r>
        <w:t>Volltext</w:t>
      </w:r>
    </w:p>
    <w:p>
      <w:r>
        <w:t>Genève Cour de justice (Cour de droit public) Chambre des assurances sociales 03.12.2019 A/2596/2019</w:t>
      </w:r>
    </w:p>
    <w:p>
      <w:r>
        <w:t>A/2596/2019 ATAS/1185/2019 du 03.12.2019 ( ARBIT ) , ADMIS En fait En droit Par ces motifs rÉpublique et canton de genÈve POUVOIR JUDICIAIRE A/2596/2019 ATAS/1185/2019 ARRET DU TRIBUNAL ARBITRAL DES ASSURANCES du 3 décembre 2019 En la cause CSS KRANKEN-VERSICHERUNG AG, AQUILANA VERSICHERUNGEN AG, MOOVE SYMPANY SA, SUPRA-1846 SA, CONCORDIA SCHWEIZERISCHE KRANKEN UND UNFALLVERSICHE AG, ATUPRI GESUNDHEITSVERSICHERUNG, AVENIR ASSURANCE MALADIE SA, KPT KRANKENKASSE AG, VIVAO SYMPANY AG, EASY SANA ASSURANCE MALADIE, EGK GRUNDVERSICHERUNGEN, SERVICE DU CONTENTIEUX, PROGRES VERSICHERUNGEN AG, sise c/o HELSANA-GRUPPE, MUTUEL ASSURANCE MALADIE SA, AMB ASSURANCE SA, SANITAS GRUNDVERSICHERUNGEN AG, INTRAS KRANKEN-VERSICHERUNG AG, PHILOS ASSURANCE MALADIE SA, ASSURA-BASIS SA, VISANA AG, HELSANA VERSICHERUNGEN AG, SANA24 AG, ARCOSANA AG, VIVACARE AG, COMPACT GRUNDVERSICHERUNGEN AG, CSS KRANKEN-VERSICHERUNG AG, toutes représentées par Santésuisse, sise Römerstrasse 20, SOLEURE demanderesses contre Docteur A______, à PARIS, France défenderesse EN FAIT 1.        La doctoresse A______ (ci-après : le médecin), spécialiste FMH en gynécologie-obstétrique, exerce la profession de médecin en tant qu'indépendante à Genève depuis 2011. Elle a été autorisée à pratiquer à charge de l'assurance obligatoire des soins. 2.        Par courrier du 17 novembre 2014, Santésuisse, intervenant pour le compte des caisses-maladie faisant partie de son organisation faîtière, a informé le médecin que ses coûts moyens par malade en 2013 dépassaient la marge de tolérance admise par la jurisprudence, et l'a invité à indiquer les particularités de sa pratique en relation avec sa patientèle susceptibles d'expliciter le dépassement d'indice constaté. 3.        Un entretien s'est déroulé dans les locaux du Groupe Mutuel le 24 mars 2017 à l'issue duquel Santésuisse a considéré que la patientèle du médecin ne reflétait pas de particularités justifiant un dépassement de plus de 30% des coûts moyens par patient en comparaison avec les autres gynécologues. 4.        Par courrier du 24 août 2017, Santésuisse a dès lors invité le médecin à faire en sorte que ses indices baissent notablement dans les prochaines statistiques, soit dans les statistiques 2017. Son attention a par ailleurs été attirée sur le fait que Santésuisse la recontacterait vraisemblablement après avoir évalué les statistiques 2016. 5.        Le 23 avril 2018, Santésuisse a constaté que les statistiques 2016 du médecin présentaient toujours des indices dépassant ceux du collectif de référence ce, dans des proportions extrêmement importantes (indice RSS coût direct et coûts totaux : 181 et 160, indice ANOVA coût direct et coûts totaux : 175 et 168). La demande de rétrocession est d'ores et déjà établie à CHF 172'436.- pour cette année-là. Santésuisse a proposé au médecin une séance de conciliation pour le 25 mai 2018. 6.        Le médecin ne s'est pas présenté à cette séance. 7.        Le 10 juillet 2018, les 25 caisses-maladie énumérées sur la page de garde du présent arrêt, représentées par Santésuisse, ont saisi le Tribunal de céans d'une demande en paiement selon ANOVA de CHF 192'145.- à l'encontre du médecin, sous suite de frais et dépens à la charge de celle-ci, pour l'année 2016. Elles ont conclu, subsidiairement, au paiement, selon RSS, de CHF 206'042.-. Le montant à restituer se décompose comme suit : pour l'année 2016 : total coûts directs : prestations brutes CHF 611'980.- traitement cabinet médical CHF 611'372.- selon ANOVA : indice coûts directs 175 points Seuil de tolérance 120 points Dépassement 55 points. CHF 192'145.-. Et selon RSS : coûts directs 181 points seuil de tolérance 120 points dépassement 61 points Dépassement CHF 206'042.- . La cause a été enregistrée sous le n° A/2452/2018. 8.        Une audience de conciliation a été prévue le 27 novembre 2018, puis annulée, le pli de la convocation adressé à la défenderesse à l'avenue B______ à Genève, étant revenu en retour avec la mention : « le destinataire est introuvable à l'adresse indiquée ». 9.        La défenderesse ne s'est pas présentée à la nouvelle audience qui s'est tenue le 19 février 2019. Vu son absence, non excusée, le Tribunal de céans n'a pu que constater l'échec de la tentative de conciliation. 10.    Par courrier du 4 mars 2019, Santésuisse a informé le Tribunal de céans des démarches qu'elle avait entreprises pour contacter la défenderesse. Elle explique ainsi que la veille de la séance de conciliation extrajudiciaire, fixée le 25 mai 2018 « lorsque nous avons téléphoné à son cabinet pour vérifier qu'elle viendrait bien à l'entretien, son télé-secrétariat nous a confirmé que Santésuisse était prévue dans le carnet de rendez-vous. (...) Le même jour, son télé-secrétariat a rappelé pour nous informer qu'elle était partie aux urgences aux Grangettes, clinique au sein de laquelle elle suit ses patientes privées. Depuis cette date, donc le 24 mai 2018, plus aucun signe de vie ! ». Santésuisse a par ailleurs constaté que c'est fin mai 2018 que la défenderesse a cessé de facturer des prestations, alors qu'elle n'a annoncé aucun changement au département de la Santé publique et a supposé qu'elle exerce actuellement à Paris. 11.    Il résulte de l'extrait Calvin, édité le 3 avril 2019, que la défenderesse a quitté Genève. 12.    Le greffe du Tribunal de céans a effectué des recherches sur Internet, desquelles il est ressorti que la défenderesse exerçait son activité de médecin dans deux cabinets distincts à Paris. Un courrier a dès lors été expédié aux deux adresses, sous pli recommandé et sous pli simple, priant la défenderesse de se présenter à l'audience du Tribunal de céans le 20 août 2019. Il ressort du suivi des envois de la Poste que le courrier est arrivé en France le samedi 21 juin 2019 et distribué le lundi suivant. 13.    Le 5 juillet 2019, Santésuisse, agissant au nom et pour le compte des caisses-maladie faisant partie de son organisation faîtière, a déposé une nouvelle demande en paiement, selon l'indice de régression, de CHF 182'980.- à l'encontre du médecin sous suite de frais et dépens à la charge de celle-ci, pour l'année 2017. Elles ont conclu, subsidiairement, au paiement selon l'indice ANOVA de CHF 151'122.-. Elles se réservent enfin le droit de modifier le montant de la prétention en restitution à la fin de la procédure probatoire. Elles expliquent le calcul du montant à restituer selon l'indice de régression comme suit : Coûts totaux (CT) CHF 870'965.- Coûts totaux directs (CTD) CHF 597'273.- Indice de régression (IR) 173 points Marge de tolérance (MT) 120 points Calcul du montant à restituer selon la formule de la méthode de régression : CT/IR * (IR - MT) * CTD/CT Montant à restituer selon l'indice de régression CHF 182'980.- Le montant à restituer selon ANOVA se décompose quant à lui comme suit : Total des coûts directs : prestation brute, corrigée en raison de pharmacies prescrites en-dessous de la moyenne (arrêt du Tribunal fédéral 9C_517/2017 ) (CTDC) CHF 597'620.- Indice ANOVA coûts directs (sans les pharmacies) (IACD) 174 points Marge de tolérance (MT) 130 points Calcul du montant à restituer selon la formule de la méthode ANOVA : (CTDC / IACD) * (IACD - MT) Montant à restituer selon l'indice ANOVA CHF 151'122.- 14.    La cause a été enregistrée sous le numéro A/2596/2019. 15.    Une audience de conciliation a été prévue le même jour que celui prévu dans la cause A/2452/2018, soit le 20 août 2019. La défenderesse ne s'y est pas présentée. Vu son absence, non excusée, le Tribunal de céans n'a pu que constater l'échec de la tentative de conciliation. 16.    Santésuisse a indiqué qu'elle confirmait la désignation de l'arbitre, Madame  C______, et le Tribunal de céans a à nouveau retenu le Docteur D______. 17.    Le procès-verbal de l'audience et le nom des arbitres ont été communiqués à la défenderesse à ses adresses françaises par courriers datés respectivement des 11 et 19 septembre 2019. Celle-ci ne s'est pas manifestée. 18.    Sur ce, la cause a été gardée à juger. EN DROIT 1.        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nommé pour 4 ans par le Conseil d'Etat, est chargé aux termes de l'art. 89 LAMal de trancher les litiges entre assureurs et fournisseurs de prestations. Aux termes de l'art. 41 LaLAMal, le tribunal ne peut entrer en matière avant que le cas ait été soumis à un organisme de conciliation prévu par convention ou à une tentative de conciliation conformément aux dispositions de l'art. 45 de la loi. Si le cas n'a pas été soumis à un organisme de conciliation prévu par convention, le président du tribunal tente de concilier les parties (art. 45 al. 2 LaLAMal). b. En l'espèce, la qualité de fournisseur de prestations au sens des art. 35ss LAMal et 38ss de l'ordonnance sur l'assurance-maladie du 27 juin 1995 (OAMal ; RS 832.102) de la défenderesse, installée à titre permanent dans le canton de Genève, n'est pas contestée. Quant aux demanderesses, elles entrent dans la catégorie des assureurs autorisés à pratiquer à charge de l'AOS au sens de la LAMal (cf. site internet de l'OFSP pour la liste des assureurs-maladie admis, disponible sur www.bag.admin.ch/themen/krankenversicherung/00295/11274/index.html?lang=fr). Par conséquent, la compétence du Tribunal de céans pour juger du cas d'espèce est établie ratione loci et materiae . 2.        Pour le surplus, la demande du 5 juillet 2019 respecte les conditions de forme prescrites par l'art. 45 al.1 LaLAMal et les art. 64 al. 1 et 65 de la loi cantonale sur la procédure administrative du 12 septembre 1985 (LPA ; RSG E 5 10), applicables par renvoi de l'art. 45 al. 4 LaLAMal, de sorte qu'elle est recevable. 3.        Santésuisse a demandé la jonction des deux causes A/2452/2018 et A/2596/2019, par souci d'économie de procédure, considérant que l'état de fait similaire et le fondement juridique identique. Aux termes de l'art. 70 al. 1 LPA, l'autorité peut, d'office ou sur requête, joindre en une même procédure des affaires qui se rapportent à une situation identique ou à une cause juridique commune. La chambre de céans a déjà eu l'occasion de juger que lorsque les parties au litige ne sont pas les mêmes et que les périodes sur lesquelles portent le dommage ne le sont pas non plus, il n'y a pas lieu de procéder à la jonction des causes ( ATAS/131/2004 ). En l'espèce, les demanderesses ne sont pas toutes les mêmes. Par ailleurs, la cause numéro A/2452/2018 a été gardée à juger le 20 août 2019 déjà (art. 70 al 2 LPA). Aussi, la jonction de la présente cause ne sera-t-elle pas ordonnée avec cette cause A/2452/2018. 4.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L'expiration de ce délai est empêché lorsque les assureurs-maladie introduisent une demande par-devant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ATF non publié 9C_205/2008 du 19 décembre 2008,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En l'espèce, selon les pièces produites, les statistiques concernant l'année 2017 ont été portées à la connaissance des demanderesses le 17 juillet 2018, soit la date figurant sur les documents intitulés « préparation des données » . La demande a été déposée le 8 juillet 2019 selon le timbre postal, de sorte que le délai d'une année a été respecté. 5.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c. Les demanderesses, soit membres de Santésuisse, soit mandatées au moyen d'une procuration individuelle, ont toutes donné procuration à celle-ci pour agir en leur nom. Partant, leur qualité pour agir sera admise. 6.        Le litige porte sur la question de savoir si la pratique de la défenderesse, en 2017, est contraire au principe de l'économicité, ainsi que si et dans quelle mesure les demanderesses sont habilitées à lui réclamer l'éventuel trop perçu. 7.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8.        a. Pour établir l'existence d'une polypragmasie (Überarztung), le Tribunal fédéral admet le recours à trois méthodes : la méthode statistique, la méthode analytique ou une combinaison des deux méthodes (ATFA non publié K 6/06 du 9 octobre 2006,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(ATFA non publiés K 113/03 du 10 août 2004, consid. 6.2 et K 134/99 du 28 novembre 2001, consid. 6d). c. Le Tribunal fédéral a réaffirmé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SANTÉSUISSE") (ATF 136 V 415 consid. 6.3.2 et 6.3.3).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JUNOD, op. cit., p. 138). f. Le Tribunal fédéral a considéré que l'accord des fournisseurs de prestations et des assureurs (FMH ainsi que santésuisse et curafutura) sur le modèle d'analyse de variance (méthode ANOVA) pour l'évaluation du caractère économique des prestations de médecins selon un contrat conclu les 27 décembre 2013 / 16 janvier 2014 ne pouvait pas être qualifié d'illégal (ATF 144 V 79 ; arrêt du Tribunal fédéral 9C_517/2017 du 10 novembre 2018). Il a précisé que cette méthode ne serait appliquée qu'à partir de l'année statistique 2017 (arrêts du Tribunal fédéral 9C_67/2018 du 20 décembre 2018 et 9C 558/2018 du 12 avril 2019). 9.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10.    En l'espèce, les demanderesses réclament à la défenderesse la restitution de la somme de CHF 182'980.- selon l'indice de régression, rappelant que cette nouvelle méthode remplace la méthode ANOVA qui est ainsi perfectionnée et qui amène de nettes améliorations, et, subsidiairement, dans la mesure où le Tribunal fédéral n'a pas encore eu l'occasion de se déterminer sur la question, de la somme de CHF 151'122.- selon la méthode ANOVA. Santésuisse a indiqué que la Fédération des médecins suisses (FMH), Santésuisse et Curafutura avaient, en collaboration avec Polynomics SA, perfectionné la méthode ANOVA en une analyse de régression en deux étapes. Par convention des 10 juillet / 15 août / 23 août 2018, les parties contractantes se sont engagées à adopter et appliquer cette nouvelle méthode. De ce fait, la méthode ANOVA a été remplacée par l'analyse de régression en deux étapes qui s'applique désormais comme nouvelle méthode au sens de l'art. 56 al. 6 LAMal, la première fois pour l'année statistique 2017. Il a produit copie de la convention relative à la méthode de screening dans le cadre du contrôle de l'économicité selon l'art. 56 al. 6 LAMal des 10 juillet, 15 août et 23 août 2018 (pièce D n° 9). Santésuisse explique que « La nouvelle analyse de régression en deux étapes (ci-après : analyse de régression) est le développement de la méthode ANOVA reconnue par la jurisprudence du Tribunal fédéral. Tant la nouvelle méthode de screening que la méthode ANOVA sont basées sur une analyse de régression, soit une procédure standard reconnue dans la statistique descriptive. La première étape a pour but de quantifier la part des coûts totaux par malade qui ne peut s'expliquer par des critères de morbidité par rapport aux coûts moyens d'un médecin du même groupe spécialisé de médecins en Suisse. À la différence de la méthode ANOVA, l'analyse de régression inclut non seulement, comme par le passé, les critères de morbidité de l'âge et du sexe, mais également, en plus - afin d'optimiser la méthode de screening statistique - les critères « franchise à option », « séjour dans un hôpital ou dans un établissement médico-social l'année précédente » ainsi que les « PCG ». Ces critères choisis ne peuvent pas être influencés par le médecin, mais représentent le profil clinique de ses patients. Dans ce cadre, ce n'est pas l'effet d'un critère individuel sur les coûts de traitement d'un médecin qui est déterminant, mais l'addition de leurs influences indépendantes les unes des autres. Lors de la deuxième étape de l'analyse de régression, le solde des coûts inexplicables du médecin en question est corrigé par deux critères supplémentaires. Il s'agit, d'une part, du critère du canton d'établissement du cabinet médical (en raison des différences de valeur du point tarifaire TARMED, des coûts de loyer et de personnel, etc.), au demeurant déjà pris en considération dans la méthode ANOVA, et, d'autre part, de critères spécifiques liés à la spécialisation du groupe de médecins. Avec ces derniers critères, il est tenu compte du fait que certains groupes spécialisés de médecins fournissent typiquement des prestations plus chères que d'autres. Il s'agit de facteurs qui sont constants par médecin et qui ne varient ainsi pas au sein d'une communauté de patients. Après ces corrections, on obtient la part des coûts par malade qui est potentiellement non économique. À partir de l'effet du cabinet médical ainsi épuré en deux étapes, on calcule ensuite, au moyen de l'analyse de régression, un indice, appelé indice de régression. Cet indice démontre par combien de points de pourcentage les coûts par malade d'un médecin diffèrent des coûts moyens du groupe de comparaison. Les médecins qui dépassent la valeur moyenne de l'indice de 100 points de manière significative sont considérés comme statistiquement hors norme. Pour tous les types de coûts (coûts totaux, coûts directs du médecin, coûts directs et indirects de pharmacies, de laboratoires et de LiMA ainsi que des physiothérapies prescrites), une analyse de régression propre avec des indices séparés est effectuée. Pour l'examen de l'économicité (polypragmasie), c'est l'indice des coûts totaux qui est déterminant ». 11.    La défenderesse ne s'est en l'occurrence pas manifestée et a quitté Genève sans prendre la précaution de laisser une adresse aux demanderesses. Il est à cet égard précisé que la convocation judiciaire directement envoyée à la défenderesse à son adresse professionnelle à Paris lui a été notifiée valablement au regard de l'art. 10 let. a de la Convention de La Haye relative à la signification et la notification à l'étranger des actes judiciaires et extrajudiciaires en matière civile ou commerciale, du 15 novembre 1965 (arrêt du TF 4D_79/2016 du 23 mars 2017), que ladite convocation a été retirée par l'intéressée ou du moins par une personne autorisée par elle le 24 juin 2019, et que, dans ces conditions, en l'absence de réaction de sa part à ce jour, le Tribunal de céans est autorisé à en déduire que la défenderesse a renoncé à se présenter devant lui, respectivement à exercer son droit d'être entendu dans le cadre de la présente procédure. Or,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9C_205/2008 du 9 décembre 2008 consid. 4.6.2 et 4.7.3). Il y a au surplus lieu de rappeler que les parties sont tenues de collaborer à la constatation des faits, en vertu de l'art. 22 de la loi sur la procédure administrative, du 12 septembre 1985 (LPA ; RS E 5 10).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La portée de la maxime inquisitoire est en effet restreinte par le devoir des parties de collaborer à l'instruction de l'affaire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La collaboration des parties étant exigible et celle de la défenderesse faisant en l'occurrence totalement défaut, il ne saurait être considéré qu'il y a un renversement du fardeau de la preuve. 12.    Il convient d'examiner, sur la base des indices ressortant des statistiques, si la pratique de la défenderesse pour l'année 2017 est constitutive de polypragmasie. Le Tribunal de céans constate que les indices des coûts directs, des coûts indirects et des coûts totaux de la défenderesse sont tous supérieurs à la moyenne du groupe de comparaison et largement supérieurs à 120 pour la méthode de régression et à 130 pour la méthode ANOVA. Par conséquent, il y a lieu d'admettre que la pratique de la défenderesse n'est pas conforme au principe de l'économicité durant l'année 2017. Dès lors que la polypragmasie est avérée, il y a lieu à restitution. 13.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En l'espèce toutefois, la défenderesse n'a fait valoir aucune particularité liée à sa pratique médicale qui justifierait, pour l'année 2017, un coût moyen par patient plus élevé et, partant, l'admission d'une marge supplémentaire ajoutée à la marge de tolérance de 130 %. 14.    Il convient de procéder au calcul du montant à restituer par la défenderesse. 15.    Les demanderesses se fondent, principalement, sur l'indice des régressions pour réclamer la restitution et, subsidiairement, sur les statistiques ANOVA. Le Tribunal fédéral a considéré que la convention des 23 juillet 2013/16 janvier 2014 conclue par la FMH, Santésuisse et Curafutura, selon laquelle la méthode ANOVA était appliquée (art. 56 al. 6 LAMal), était admissible à compter de l'année statistique 2017. Il n'en est pas de même encore pour la méthode de screening. La nouvelle convention datée des 10 juillet, 15 août et 23 août 2018, aux termes de laquelle la méthode ANOVA sera remplacée par la méthode de screening dès l'année statistique 2017 n'a pas encore été mentionnée par le Tribunal fédéral. Aussi, quand bien même cette nouvelle analyse ferait suite à la méthode ANOVA et en constituerait une amélioration, le Tribunal de céans ne saurait-il l'appliquer dans le cas d'espèce, ce d'autant moins que la défenderesse n'a fait valoir aucun argument pour la défense de ses intérêts. Par conséquent, le Tribunal de céans appliquera la méthode ANOVA. Au vu du défaut total de collaboration de la défenderesse, qui ne s'est manifestée à aucun moment de la procédure, il convient de se référer au calcul auquel ont procédé les demanderesses. Il s'agit en l'espèce du montant de CHF 151'122.-. La demande est en conséquence admise, la défenderesse étant condamnée à restituer la somme de CHF 151'122.- aux demanderesses pour l'année 2017. 16.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du sort du litige, l'émolument, fixé à CHF ......... et les frais du Tribunal par CHF ............... seront mis à la charge de la défenderesse (art. 46 al. 1 LaLAMal). PAR CES MOTIFS, LE TRIBUNAL ARBITRAL DES ASSURANCES: Statuant À la forme : 1.        Déclare la demande recevable. Au fond : 2.        L'admet et condamne la défenderesse à restituer à CSS KRANKEN-VERSICHERUNG AG, AQUILANA VERSICHERUNGEN AG, MOOVE SYMPANY SA, SUPRA-1846 SA, CONCORDIA SCHWEIZERISCHE KRANKEN UND UNFALLVERSICHE AG, ATUPRI GESUNDHEITSVERSICHERUNG, AVENIR ASSURANCE MALADIE SA, KPT KRANKENKASSE AG, VIVAO SYMPANY AG, EASY SANA ASSURANCE MALADIE, EGK GRUNDVERSICHERUNGEN, SERVICE DU CONTENTIEUX, PROGRES VERSICHERUNGEN AG, sis c/o HELSANA-GRUPPE, MUTUEL ASSURANCE MALADIE SA, AMB ASSURANCE SA, SANITAS GRUNDVERSICHERUNGEN AG, INTRAS KRANKEN-VERSICHERUNG AG, PHILOS ASSURANCE MALADIE SA, ASSURA-BASIS SA, VISANA AG, HELSANA VERSICHERUNGEN AG, SANA24 AG, ARCOSANA AG, VIVACARE AG, COMPACT GRUNDVERSICHERUNGEN AG, CSS KRANKEN-VERSICHERUNG AG, prises conjointement et solidairement, en mains de Santésuisse, à charge pour elle de procéder à la répartition, la somme de CHF 151'122.- pour l'année 2017 selon l'indice ANOVA. 3.        Met les frais du Tribunal de CHF ......... et l'émolument de justice de CHF ..... à la charge de la défenderesse.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