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A/2594/2023 vom 19. Dezember 2023</w:t>
      </w:r>
    </w:p>
    <w:p>
      <w:r>
        <w:t>GE Cour de justice, 2023-12-19, FR</w:t>
      </w:r>
    </w:p>
    <w:p>
      <w:r>
        <w:rPr>
          <w:b/>
        </w:rPr>
        <w:t xml:space="preserve">Quelle: </w:t>
      </w:r>
      <w:r>
        <w:t>https://mcp.opencaselaw.ch/entscheid/ge_gerichte_A_2594_2023</w:t>
      </w:r>
    </w:p>
    <w:p>
      <w:r>
        <w:t>FR: GE_GERICHTE A/2594/2023 du 19 décembre 2023</w:t>
      </w:r>
    </w:p>
    <w:p>
      <w:r>
        <w:t>IT: GE_GERICHTE A/2594/2023 del 19 dicembre 2023</w:t>
      </w:r>
    </w:p>
    <w:p>
      <w:pPr>
        <w:pStyle w:val="Heading2"/>
      </w:pPr>
      <w:r>
        <w:t>Regeste</w:t>
      </w:r>
    </w:p>
    <w:p>
      <w:r>
        <w:t>DROIT D'ÊTRE ENTENDU;DROIT D'OBTENIR UNE DÉCISION;ÉTABLISSEMENT PÉNITENTIAIRE;ACTE MATÉRIEL;DÉCISION;COMPÉTENCE;COMPÉTENCE RATIONE MATERIAE;MESURE DE CONTRAINTE(PROCÉDURE PÉNALE);PERQUISITION DE DOCUMENTS ET ENREGISTREMENTS;SPHÈRE PRIVÉE;DONNÉES PERSONNELLES;DROIT FONDAMENTAL;ATTEINTE À UN DROIT CONSTITUTIONNEL | l'inspection d'une cellule, en raison de soupçons portant sur la présence de substances interdites, constitue un acte matériel fondé sur le droit public cantonal. Le courrier de la Conseillère d'État refusant de constater le caractère illicite de cet acte constitue une décision au sens de l'art. 4A al. 2 LPA. La saisie de documents personnels trouvés lors de l'inspection de la cellule, et susceptibles d’être utilisés comme moyens de preuve dans le cadre de la procédure pénale en cours, constitue un acte de procédure pénale relevant de la compétence du Ministère public. La chambre administrative n'est dès lors pas compétente pour examiner la légalité de cet acte. Les détenus doivent en principe assister à la fouille de leurs effets personnels. La jurisprudence admet toutefois une exception à ce principe lorsque l’absence du détenu est justifiée par des raisons objectives de pratique et de sécurité. | CEDH.6; CEDH.13; Cst.29A; Cst.36; PA.25A; LPA.4.al1; LPA.4A.al1; LPA.5; LPA.6; LOJ.77; RRIP.42; RRIP.44; RRIP.45.leth; RRIP.46</w:t>
      </w:r>
    </w:p>
    <w:p>
      <w:pPr>
        <w:pStyle w:val="Heading2"/>
      </w:pPr>
      <w:r>
        <w:t>Erwägungen</w:t>
      </w:r>
    </w:p>
    <w:p>
      <w:r>
        <w:rPr>
          <w:b/>
        </w:rPr>
        <w:t>E. 1</w:t>
      </w:r>
    </w:p>
    <w:p>
      <w:r>
        <w:t>Le recours est dirigé contre le « courrier » de la Conseillère d’État en charge du DIN du 28 juin 2023. Il a été interjeté en temps utile et dans les formes prescrites (art. 62 al. 1 let. a et 63 al. 1 let. b LPA).![endif]&gt;![if&gt;</w:t>
      </w:r>
    </w:p>
    <w:p>
      <w:r>
        <w:rPr>
          <w:b/>
        </w:rPr>
        <w:t>E. 2</w:t>
      </w:r>
    </w:p>
    <w:p>
      <w:r>
        <w:t>La chambre administrative examine d’office sa compétence, qui est déterminée par la loi et ne peut être créée par accord entre les parties (art. 11 al. 1 et 2 LPA ; ATA/1226/2023 du 14 novembre 2023).![endif]&gt;![if&gt;</w:t>
      </w:r>
    </w:p>
    <w:p>
      <w:r>
        <w:rPr>
          <w:b/>
        </w:rPr>
        <w:t>E. 2.1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LOJ).![endif]&gt;![if&gt;</w:t>
      </w:r>
    </w:p>
    <w:p>
      <w:r>
        <w:rPr>
          <w:b/>
        </w:rPr>
        <w:t>E. 2.2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4).![endif]&gt;![if&gt;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2.3</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LPA).![endif]&gt;![if&gt; Un acte matériel est défini comme un acte qui n'a pas pour objet de produire un effet juridique, même s'il peut en pratique en produire, notamment s'il met en jeu la responsabilité de l'État ( ATA/649/2023 précité consid. 1.4 et les arrêts cités ; Pierre MOOR/Alexandre FLÜCKIGER/Vincent MARTENET, Droit administratif, vol. 1, 3 e éd. 2012, p. 12 s ; Thierry TANQUEREL, op. cit .,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ATA/649/2023 précité ; Thierry TANQUEREL, op. cit ., n. 666). Selon les travaux préparatoires relatifs à l'art. 4A LPA, cette disposition vise en particulier à adapter le droit administratif genevois aux exigences posées par la garantie de l'accès au juge ancrée à l'art. 29a de la Constitution fédérale de la Confédération suisse du 18 avril 1999 (Cst. - RS 101 ; exposé des motifs du projet de loi n° PL 10253 modifiant la LOJ, déposé en mai 2003 par le Conseil d'État, in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 pour conclure qu'il ressort de la jurisprudence du Tribunal fédéral et de la doctrine que les cantons sont tenus d'ouvrir la possibilité de demander à l'autorité compétente une décision attaquable et de prévoir une voie de droit analogue à celle de l'art. 25a de loi fédérale sur la procédure administrative du 20 décembre 1968 (PA - RS 172.021 ; MGC 2007-2008/VIII A – 6535 ; ATA/649/2023 précité consid. 1.5 et l’arrêt cité). Toujours selon les travaux préparatoires relatifs à cette disposition (MGC 2007‑2008/VIII A 6519), l’art. 4A LPA est une « reprise presque à l’identique » de l’art.  25a PA,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2.4</w:t>
      </w:r>
    </w:p>
    <w:p>
      <w:r>
        <w:t>La chambre administrative a eu l’occasion de relever qu’une fouille de cellule n’était pas une décision, mais un acte matériel effectué par le personnel de la prison ( ATA/365/2019 du 2 avril 2019).![endif]&gt;![if&gt;</w:t>
      </w:r>
    </w:p>
    <w:p>
      <w:r>
        <w:rPr>
          <w:b/>
        </w:rPr>
        <w:t>E. 2.5</w:t>
      </w:r>
    </w:p>
    <w:p>
      <w:r>
        <w:t>Aux termes de l’art. 5 LPA, sont réputées autorités administratives au sens de l’art. 1 LPA : le Conseil d’État (let. a) ; la chancellerie d’État (let. b) ; les départements (let. c) ; les services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g).![endif]&gt;![if&gt; Selon l’art. 6 LPA, sont réputées juridictions administratives au sens de la LPA : le Tribunal administratif de première instance (let. a) ; la chambre constitutionnelle de la Cour de justice (let. b) ; la chambre administrative de la Cour de justice (let. c) ; la chambre des assurances sociales de la Cour de justice (let. d) ; le Conseil d’État lorsque le droit fédéral ou cantonal le désigne comme autorité de recours (let. e) ; les autres autorités que le droit fédéral ou cantonal charge du contentieux administratif en les désignant comme autorités de recours (let. f ; al. 1). Les tribunaux civils et pénaux chargés de trancher des contestations de droit administratif ne sont pas réputés juridictions administratives (al. 2). Selon l’art. 77 LOJ, le MP est la juridiction prévue par : l’art. 16 du code de procédure pénale suisse du 5 octobre 2007 (CPP - RS 312.0 ; let. a) et les art. 6 al. 1 let. c et 21 PPMin (let. b ; al. 1). Il exerce les compétences que le CPP attribue au MP (let. a) et que la PPMin attribue au MP des mineurs (let. b ; al. 2). Il exerce en outre les compétences que la loi d’application du code pénal suisse et d’autres lois fédérales en matière pénale du 27 août 2009 (LaCP - E 4 10) lui attribue (al. 3). La loi peut attribuer d’autres compétences au MP (al. 4). Selon le CPP, le MP est une autorité de poursuite pénale (art. 12 let. b CPP), à laquelle il incombe notamment de conduire la procédure préliminaire (art. 16 al. 2 CPP). L’autorité de recours, soit à Genève la chambre pénale de recours de la Cour de justice (ci-après : chambre pénale de recours ; art. 128 LOJ) statue sur les recours dirigés contre les actes de procédure et contre les décisions non sujettes à appel rendues par le MP (art. 20 al. 1 let. b CPP).</w:t>
      </w:r>
    </w:p>
    <w:p>
      <w:r>
        <w:rPr>
          <w:b/>
        </w:rPr>
        <w:t>E. 2.6</w:t>
      </w:r>
    </w:p>
    <w:p>
      <w:r>
        <w:t>Le statut des personnes incarcérées à la prison est régi par le RRIP,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RRIP).![endif]&gt;![if&gt;</w:t>
      </w:r>
    </w:p>
    <w:p>
      <w:r>
        <w:rPr>
          <w:b/>
        </w:rPr>
        <w:t>E. 2.7</w:t>
      </w:r>
    </w:p>
    <w:p>
      <w:r>
        <w:t>En l’espèce, le courrier du 28 juin 2023 a été rédigé par une autorité administrative au sens de l’art. 5 let. a LPA. Il convient donc d’examiner si, conformément à l’art. 4 al. 1 LPA, il s’agit d’une mesure individuelle et concrète, fondée sur le droit public fédéral, cantonal, communal et ayant pour objet l’une des mesures énumérées par cette disposition.![endif]&gt;![if&gt; Dans le courrier litigieux, la Conseillère d’État retient que la fouille de la cellule et la saisie de ses calepins n’enfreignaient pas ses droits fondamentaux. Ces deux éléments doivent être examinés successivement. S’agissant d’abord de la fouille de la cellule, celle-ci a pour fondement l’art. 46 RRIP. Il ressort en effet du dossier que la fouille a été ordonnée en raison d’une suspicion de substances illicites se trouvant dans la cellule du recourant. L’inspection de sa cellule répondait ainsi à l’objectif sécuritaire poursuivi par la prison. Selon la jurisprudence précitée, la fouille de la cellule constitue un acte matériel fondé sur le droit public cantonal. Par deux fois, le recourant a sollicité la notification d’une décision au sens de l'art. 4A LPA afin de constater le caractère illicite de cet acte. Le courrier du 28 juin 2023 doit ainsi être qualifié de décision au sens de l’art. 4A al. 2 LPA en tant qu’il constate qu’aucun manquement n’était à relever de la part du personnel pénitentiaire de la prison. Le recours est ainsi recevable en tant qu’il porte sur la décision constatant le caractère licite de la fouille de la cellule du recourant. Il convient donc d’entrer en matière sur ce point. S’agissant en revanche de la problématique de la saisie des documents personnels du recourant, force est de relever que celle-ci se fonde sur l’art. 263 CPP. Cette disposition permet en effet la mise sous séquestre d’objets appartenant au prévenu lorsqu’il est probable qu’ils seront utilisés comme moyens de preuves (art. 263 al. 1 let. a CPP). Or, il ressort du rapport d’incident du 18 mai 2023 que le gardien avait identifié les mots armes et bidon d’essence rédigés sur une feuille volante dépassant d’un bloc-notes appartenant au recourant. Dans la mesure où de tels éléments étaient susceptibles d’être utilisés comme moyens de preuve dans le cadre de la procédure pénale, le gardien a informé le gardien chef adjoint, lequel a pris contact avec la procureure en charge du dossier du recourant, qui a validé la saisie des bloc‑notes. Il appert ainsi que l’ordre de saisie a été ordonné oralement (art. 263 al. 2 CPP), puis confirmé par ordonnance de séquestre du 24 mai 2023. Ainsi, dès lors que la saisie des calepins du recourant constitue un acte de procédure pénale relevant de la compétence du MP, il appartient au recourant de faire usage des voies de droit prévues par le CPP (art. 393 al. 1 let. a CPP) en cas de contestation. Le recourant ne s’y est du reste pas trompé puisqu’il a sollicité du MP la mise sous scellés de ces documents. Le recours est dès lors irrecevable sur ce point.</w:t>
      </w:r>
    </w:p>
    <w:p>
      <w:r>
        <w:rPr>
          <w:b/>
        </w:rPr>
        <w:t>E. 3</w:t>
      </w:r>
    </w:p>
    <w:p>
      <w:r>
        <w:t>Le recourant sollicite, à titre préalable, la production d’une copie complète du rapport d’incident du 17 mai 2023, l’intégralité des courriels échangés entre le gardien chef adjoint et le MP en lien avec la fouille et la saisie de ses documents personnels ainsi qu’une audience de comparution personnelle et l’audition d’un témoin.![endif]&gt;![if&gt;</w:t>
      </w:r>
    </w:p>
    <w:p>
      <w:r>
        <w:rPr>
          <w:b/>
        </w:rPr>
        <w:t>E. 3.1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3.2</w:t>
      </w:r>
    </w:p>
    <w:p>
      <w:r>
        <w:t>Le département a produit une copie du rapport d’incident du 17 mai 2023 de sorte que cette requête est devenue sans objet. Dans sa réplique, le recourant a requis la production de l’ensemble des courriels échangés entre le gardien chef adjoint et le MP en lien avec la fouille et la saisie de ses documents personnels. Il n’explique toutefois pas en quoi ces pièces seraient déterminantes pour l’issue du litige, étant rappelé que les griefs du recourant en lien avec la saisie des calepins concernent une procédure de nature pénale qui ne relève pas de la compétence de la chambre de céans. Quant à la requête visant à la tenue d’une audience de comparution personnelle, le recourant, qui ne dispose pas du droit à être entendu oralement, a eu l’occasion de se déterminer par écrit devant la chambre de céans. Aussi, par appréciation anticipée et vu ce qui suit, il ne sera pas donné suite à cette offre de preuves. La chambre de céans renoncera également à entendre le gardien chef dont le recourant demande l’audition, les circonstances de l’intervention du 18 mai 2023 étant suffisamment précisées dans les rapports d’incident versés au dossier.![endif]&gt;![if&gt;</w:t>
      </w:r>
    </w:p>
    <w:p>
      <w:r>
        <w:rPr>
          <w:b/>
        </w:rPr>
        <w:t>E. 4</w:t>
      </w:r>
    </w:p>
    <w:p>
      <w:r>
        <w:t>Le litige vise ainsi à déterminer si c’est à juste titre que l’autorité intimée a constaté le caractère licite de la fouille de la cellule du recourant. En revanche, les griefs visant à faire constater le caractère illicite de la saisie de ses calepins ne seront pas examinés. ![endif]&gt;![if&gt;</w:t>
      </w:r>
    </w:p>
    <w:p>
      <w:r>
        <w:rPr>
          <w:b/>
        </w:rPr>
        <w:t>E. 5</w:t>
      </w:r>
    </w:p>
    <w:p>
      <w:r>
        <w:t>Invoquant les art. 13 de la Convention de sauvegarde des droits de l’homme et des libertés fondamentales du 4 novembre 1950 (CEDH - RS 0.101) et 29 al. 1 Cst., le recourant se plaint d’une violation de son droit à un recours effectif et de son droit à obtenir une décision.![endif]&gt;![if&gt;</w:t>
      </w:r>
    </w:p>
    <w:p>
      <w:r>
        <w:rPr>
          <w:b/>
        </w:rPr>
        <w:t>E. 5.1</w:t>
      </w:r>
    </w:p>
    <w:p>
      <w:r>
        <w:t>Selon l'art. 6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13 CEDH prévoit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officielles.![endif]&gt;![if&gt; Aux termes de l'art. 29 al. 1 Cst., toute personne a droit, dans une procédure judiciaire ou administrative, à ce que sa cause soit traitée équitablement et jugée dans un délai raisonnable. Commet un déni de justice formel prohibé par l'art. 29 al. 1 Cst. l'autorité qui refuse indûment de se prononcer sur une requête dont l'examen relève de sa compétence. Ainsi, la juridiction qui n'entre pas ou pas complètement en matière sur un recours qui lui est soumis dans un domaine dont elle a la compétence matérielle, locale et fonctionnelle pour en connaître commet un déni de justice formel (ATF 135 I 6 consid. 2.1).</w:t>
      </w:r>
    </w:p>
    <w:p>
      <w:r>
        <w:rPr>
          <w:b/>
        </w:rPr>
        <w:t>E. 5.2</w:t>
      </w:r>
    </w:p>
    <w:p>
      <w:r>
        <w:t>En l’occurrence, le recourant fait grief à l’autorité intimé d’avoir expressément refusé de rendre une décision. Or, comme il a été exposé ci-avant, le courrier de la Conseillère d’État du 28 juin 2023, qui fait suite aux interpellations du recourant, doit être qualifié de décision en tant qu’il constate le caractère licite de l’inspection de la cellule du recourant. Le fait que l’autorité intimée ait indiqué que son courrier était purement informatif et ne constituait pas une décision n’y change rien. Il n’apparaît au demeurant pas que l’autorité intimée aurait refusé de traiter certains griefs soulevés devant elle et commis de ce fait un déni de justice formel. Dans ces conditions, le grief tiré de la violation des art. 13 CEDH et 29 al. 1 Cst. est mal fondé. On précisera enfin que la procédure devant la chambre administrative remplit les conditions du droit à un procès équitable de l’art. 6 CEDH, ce qui exclut une violation de l’art. 13 CEDH.![endif]&gt;![if&gt;</w:t>
      </w:r>
    </w:p>
    <w:p>
      <w:r>
        <w:rPr>
          <w:b/>
        </w:rPr>
        <w:t>E. 6</w:t>
      </w:r>
    </w:p>
    <w:p>
      <w:r>
        <w:t>Le recourant soutient que la fouille de sa cellule a été réalisée en violation des art. 6 CEDH, 13 al. 1 Cst. et 46 RRIP.![endif]&gt;![if&gt;</w:t>
      </w:r>
    </w:p>
    <w:p>
      <w:r>
        <w:rPr>
          <w:b/>
        </w:rPr>
        <w:t>E. 6.1</w:t>
      </w:r>
    </w:p>
    <w:p>
      <w:r>
        <w:t>À teneur de l'art. 13 al. 1 Cst., toute personne a droit au respect de sa vie privée et familiale, de son domicile, de sa correspondance et des relations qu'elle établit par la poste et les télécommunications. L'al. 2 de cette disposition précise que toute personne a le droit d'être protégée contre l'emploi abusif des données qui la concernent.![endif]&gt;![if&gt; L'art. 13 Cst. protège la sphère privée dans une acception large, qui comprend la protection des données personnelles (PASCAL MAHON, in Petit commentaire de la Constitution fédérale [...], 2003, n° 2 ad art. 13 Cst. ; SYLVAIN MÉTILLE, Mesures techniques de surveillance et respect des droits fondamentaux, 2011, n. 226-228).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II 371 consid. 6.1). Selon l’art. 36 Cst., toute restriction d’un droit fondamental doit être fondée sur une base légale (al. 1), justifiée par un intérêt public ou par la protection d’un droit fondamental d’autrui (al. 2) et proportionnée au but visé (al. 3).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l'État par un rapport de droit spécial (ATF 124 I 203 consid. 2b ; 118 Ia 64 consid. 3r-t).</w:t>
      </w:r>
    </w:p>
    <w:p>
      <w:r>
        <w:rPr>
          <w:b/>
        </w:rPr>
        <w:t>E. 6.2</w:t>
      </w:r>
    </w:p>
    <w:p>
      <w:r>
        <w:t>Aux termes de l'art. 85 CP, les effets personnels et le logement du détenu peuvent être inspectés pour des raisons d'ordre et de sécurité de l'établissement (al. 1). Les art. 241 à 243 CPP s'appliquent en tant que dispositions générales en matière de perquisitions, fouilles et examens. En tout temps, la direction peut ordonner des fouilles corporelles et une inspection des locaux (art. 46 RRIP).![endif]&gt;![if&gt;</w:t>
      </w:r>
    </w:p>
    <w:p>
      <w:r>
        <w:rPr>
          <w:b/>
        </w:rPr>
        <w:t>E. 6.3</w:t>
      </w:r>
    </w:p>
    <w:p>
      <w:r>
        <w:t>La Recommandation Rec (2006)2-rev sur les Règles pénitentiaires européennes, adoptée le 11 janvier 2006 par le Comité des Ministres du Conseil de l'Europe et révisée le 1er juillet 2020 (ci-après: RPE), s'applique aussi à la détention provisoire (règle 10.1). Les RPE n'ont certes pas de valeur contraignante pour les États, mais leur contenu reflète les traditions juridiques communes à ces États et sert de référence dans la concrétisation des droits fondamentaux (ATF 140 I 125 consid. 3.2 p. 133 et les arrêts cités). S’agissant des fouilles et des contrôles, les détenus doivent assister à la fouille de leurs effets personnels, à moins que les techniques de fouille ou le danger potentiel que cela représente pour le personnel l’interdisent (règle 54.8).![endif]&gt;![if&gt;</w:t>
      </w:r>
    </w:p>
    <w:p>
      <w:r>
        <w:rPr>
          <w:b/>
        </w:rPr>
        <w:t>E. 6.4</w:t>
      </w:r>
    </w:p>
    <w:p>
      <w:r>
        <w:t>En l’occurrence, lors de la fouille de la cellule, les gardiens de prison ont consulté des notes personnelles du recourant. Or, la sphère privée et les données personnelles sont protégées par l'art. 13 al. 1 et 2 Cst. Il ne peut donc y être porté atteinte par l'autorité qu'aux conditions de l'art. 36 Cst. Il convient donc d’examiner si cette atteinte repose sur une base légale, est justifiée par un intérêt public et respecte le principe de la proportionnalité.![endif]&gt;![if&gt; La fouille de la cellule dont a fait l’objet le recourant repose sur une base légale suffisante, soit l’art. 46 RRIP, étant rappelé que, s’agissant d’une restriction à la liberté personnelle des détenus découlant des conditions de détention, une loi au sens matériel suffit. En tant que le recourant se plaint de ce que la fouille de sa cellule n’a pas été ordonnée par la direction, contrairement au texte clair de l’art. 46 RRIP, force est de relever que le rapport d’incident du 17 mai 2023, qui faisait état de soupçons quant à la présence de substances illicites dans la cellule du recourant, a été adressé au directeur de la prison. Le dossier ne contient certes pas de trace écrite d’un ordre d’inspection qui aurait été donné par ce dernier à ses subordonnés. Un tel document n’est toutefois pas exigé par le règlement de détention, étant rappelé que la fouille d’une cellule constitue un acte matériel. Dans la mesure où l’ensemble des rapports d’incidents sont adressés à la direction, celle‑ci garde la maîtrise quant aux suites à donner aux informations rapportées par les gardiens et aux mesures à ordonner. Aucun élément au dossier ne permet de retenir que tel n’aurait pas été le cas en l’occurrence. Contrairement à ce que soutient le recourant, le fait qu’il est mentionné, dans le rapport d’incident du 18 mai 2023, que la fouille a été effectuée sur demande du gardien chef adjoint n’exclut pas encore que l’ordre ait été émis par la direction. La mesure respecte ainsi la condition de forme fixée par le règlement de détention. La fouille reposait sur des soupçons fondés portant sur la présence de substances interdites au sein de la cellule qu’occupait le recourant. Il n’est à cet égard pas déterminant que le recourant n’ait pas été spécifiquement visé par cette mesure, puisqu’il n’avait lui-même aucun antécédent dans le domaine des stupéfiants. Comme l’a relevé le département, l’inspection ne visait pas à découvrir des moyens de preuves pouvant être utilisés dans le cadre de sa procédure pénale, mais à assurer le respect des règles de vie fixées aux détenus par l’établissement. C’est le lieu de préciser, comme l’a fait l’autorité intimée, que des substances illicites peuvent être dissimulées dans des documents, si bien qu’il appartient aux gardiens de les parcourir, au même titre que tous les autres objets se trouvant dans la cellule. La question de savoir si, comme le soutient le recourant, ses notes personnelles ne sauraient être utilisées comme moyens de preuve puisqu’elles portaient sur ses échanges avec son avocat devra être examinée par les autorités pénales. Il en va de même des arguments du recourant liés à la manière dont les autorités ont procédé pour saisir ses documents personnels. L’atteinte à la sphère privée du recourant était ainsi justifiée au vu de l’objectif de la fouille de saisir des substances interdites afin de garantir la sécurité des personnes détenues ainsi que l’ordre et la tranquillité dans l’établissement. La mesure était en outre apte et nécessaire pour atteindre cet objectif puisque la fouille a permis de découvrir des dispositifs et substances interdits et de les détruire. Enfin, en tant que le recourant se plaint de ne pas avoir été présent pendant la fouille, son grief doit être écarté. La recommandation du Comité des ministres prévoit certes que les détenus doivent en principe assister à la fouille de leurs effets personnels. La jurisprudence admet toutefois une exception à ce principe lorsque l’absence du détenu est justifiée par des raisons objectives (arrêt du Tribunal fédéral 1P.197/1994 consid. 16a in Pra 1996 n° 142 p. 474). Or, en l’occurrence, la cellule dans laquelle séjournait le recourant était occupée par quatre autres personnes détenues, qui étaient soupçonnées de dissimiler des produits stupéfiants. Dans ces conditions, l’absence des personnes occupant la cellule durant l’inspection de celle‑ci était justifiée par des raisons objectives de pratique et de sécurité. Les considérants qui précèdent conduisent au rejet du recours, dans la mesure de sa recevabilité. Au vu de ce résultat, il n’est pas nécessaire d’examiner la conclusion du recourant tirée d’une indemnisation pour dommage moral.</w:t>
      </w:r>
    </w:p>
    <w:p>
      <w:r>
        <w:rPr>
          <w:b/>
        </w:rPr>
        <w:t>E. 6.5</w:t>
      </w:r>
    </w:p>
    <w:p>
      <w:r>
        <w:t>Vu la nature du litige, aucun émolument ne sera perçu (art. 87 al. 1 LPA ; art. 12 al. 1 du règlement sur les frais, émoluments et indemnités en procédure administrative du 30 juillet 1986 - RFPA - E 5 10.03). Vu son issue,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