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A/2593/2025 vom 11. Dezember 2025</w:t>
      </w:r>
    </w:p>
    <w:p>
      <w:r>
        <w:t>GE Cour de justice, 2025-12-11, FR</w:t>
      </w:r>
    </w:p>
    <w:p>
      <w:r>
        <w:rPr>
          <w:b/>
        </w:rPr>
        <w:t xml:space="preserve">Quelle: </w:t>
      </w:r>
      <w:r>
        <w:t>https://mcp.opencaselaw.ch/entscheid/ge_gerichte_A_2593_2025</w:t>
      </w:r>
    </w:p>
    <w:p>
      <w:r>
        <w:t>FR: GE_GERICHTE A/2593/2025 du 11 décembre 2025</w:t>
      </w:r>
    </w:p>
    <w:p>
      <w:r>
        <w:t>IT: GE_GERICHTE A/2593/2025 del 11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le refus d’octroi de mesures professionnelles ainsi que sur le degré d’invalidité et la quotité de la rente, retenus par l’intimé.</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3.2</w:t>
      </w:r>
    </w:p>
    <w:p>
      <w:r>
        <w:t>En l’occurrence, le litige porte sur le degré d’invalidité, fixant le droit à la rente d’invalidité, dont il n’est pas contesté que ledit droit est né postérieurement au 31 décembre 2021, de sorte que les dispositions légales applicables seront citées dans leur nouvelle teneur.</w:t>
      </w:r>
    </w:p>
    <w:p>
      <w:r>
        <w:rPr>
          <w:b/>
        </w:rPr>
        <w:t>E. 4.1</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w:t>
      </w:r>
    </w:p>
    <w:p>
      <w:r>
        <w:rPr>
          <w:b/>
        </w:rPr>
        <w:t>E. 4.3</w:t>
      </w:r>
    </w:p>
    <w:p>
      <w:r>
        <w:t>Selon la jurisprudence, si l'assuré peut prétendre à des prestations de l'assurance-invalidité, l'allocation d'une rente d'invalidité à l'issue du délai d'attente (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5.1</w:t>
      </w:r>
    </w:p>
    <w:p>
      <w:r>
        <w:t>Selon l’art. 54 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[OFAS], Dispositions d’exécution relatives à la modification de la loi fédérale sur l’assurance-invalidité [Développement continu de l’AI], rapport explicatif [après la procédure de consultation] du 3 novembre 2021 [ci-après : rapport explicatif], ad art. 49 al. 1 bis , p. 60).</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5.3</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5.4</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5.5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 arrêt du Tribunal fédéral 8C_162/2023 du 9 octobre 2023 consid. 2.3 et les références).</w:t>
      </w:r>
    </w:p>
    <w:p>
      <w:r>
        <w:rPr>
          <w:b/>
        </w:rPr>
        <w:t>E. 5.6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5.7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7.1</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 cf.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7.2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Selon l’art. 24 septies RAI, le statut d’un assuré est déterminé en fonction de la situation professionnelle dans laquelle il se trouverait s’il n’était pas atteint dans sa santé (al. 1). L’assuré est réputé exercer une activité lucrative au sens de l’art. 28 a al. 1 LAI dès lors qu’en bonne santé, il exercerait une activité lucrative à un taux d’occupation de 100% ou plus (al. 2 let. a).</w:t>
      </w:r>
    </w:p>
    <w:p>
      <w:r>
        <w:rPr>
          <w:b/>
        </w:rPr>
        <w:t>E. 7.3</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7.4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7.5</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 bis al. 1 RAI est également inférieur d’au moins 5% aux valeurs médianes usuelles dans la branche selon l’ESS ou lorsque l’assuré exerçait une activité lucrative indépendante (art. 26 al. 2 et 3 RAI).</w:t>
      </w:r>
    </w:p>
    <w:p>
      <w:r>
        <w:rPr>
          <w:b/>
        </w:rPr>
        <w:t>E. 7.6</w:t>
      </w:r>
    </w:p>
    <w:p>
      <w:r>
        <w:t>Afin de comparer le salaire effectivement réalisé à celui fondé sur les ESS, ce dernier doit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 cf. ATF 143 V 295 consid. 4.1.3 ; arrêt du Tribunal fédéral 8C_659/2022 du 2 mai 2023 consid. 7.2). La jurisprudence du Tribunal fédéral concernant l’utilisation des salaires statistiques reste pertinente (OFAS, rapport explicatif, ad art. 25 al. 3, p. 45). Il convient de se fonder, en règle générale, sur les valeurs médianes indiquées dans la table ESS TA1_tirage_ skill_level .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 cf . art. 25 al. 3 et 4 ; 26 al. 4 RAI ; OFAS, Circulaire sur l’invalidité et les rentes dans l’assurance-invalidité [ci-après : CIRAI], ch. 3207 et ss ; cf . arrêt du Tribunal fédéral 8C_276/2021 du 2 novembre 2021). Si l’on ne tient pas compte d’une branche en particulier, le total de la durée normale du travail dans les entreprises ou l’évolution des salaires nominaux de toutes les divisions économiques est déterminant (OFAS, CIRAI, ch. 3212 et 3213).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9.1</w:t>
      </w:r>
    </w:p>
    <w:p>
      <w:r>
        <w:t>À titre préalable, il convient de rappeler que le recourant a demandé la mise en œuvre de « débats publics ». Les garanties minimales de l'art. 29 al. 2 de la Constitution fédérale de la Confédération suisse du 18 avril 1999 (Cst. - RS 101) en matière de droit d'être entendu ne confèrent pas le droit d'être entendu oralement par l'autorité ( cf . ATF 134 I 140 consid. 5.3 et les références). En l'occurrence, il ne se justifie pas d'entendre le recourant en audience publique, dès lors qu'il n'a pas motivé sa demande, qu'il a pu pleinement s'exprimer par écrit et que son audition n’est pas utile à la résolution du litige.</w:t>
      </w:r>
    </w:p>
    <w:p>
      <w:r>
        <w:rPr>
          <w:b/>
        </w:rPr>
        <w:t>E. 9.2</w:t>
      </w:r>
    </w:p>
    <w:p>
      <w:r>
        <w:t>En l’espèce, sur le fond, le recourant considère que l’intimé a mal apprécié la situation en se fondant sur une expertise pluridisciplinaire administrative qui minimise les atteintes dont il souffre sur le plan orthopédique, notamment au niveau des pieds. Il estime qu’il sied de se fonder sur l’appréciation médicale du Prof. F______, qui ne retient qu’une capacité de travail de 50% au maximum, dans une activité adaptée. Dans un deuxième grief, le recourant considère que l’abattement forfaitaire de 10% retenu par l’OAI est insuffisant dès lors que l’intimé n’a pas tenu compte du fait qu’il n’est pas de nationalité suisse, qu’il ne dispose d’aucune formation, qu’il est éloigné de l’emploi depuis de nombreuses années et qu’il ne maîtrise pas la langue française, raisons pour lesquelles le taux d’abattement devrait être plus important. L’intimé, quant à lui estime que l’expertise administrative multidisciplinaire présente une pleine valeur probante, raison pour laquelle une capacité de travail de 100% doit être reconnue, avec toutefois une perte de rendement de 30%, ce qui aboutit à une capacité de travail résiduelle de 70%. En ce qui concerne l’abattement, le taux de 10% est adapté aux limitations fonctionnelles du recourant, ce d’autant plus que les éléments qu’il énumère n’entrent pas en considération dans le cadre du calcul de l’abattement.</w:t>
      </w:r>
    </w:p>
    <w:p>
      <w:r>
        <w:rPr>
          <w:b/>
        </w:rPr>
        <w:t>E. 9.3</w:t>
      </w:r>
    </w:p>
    <w:p>
      <w:r>
        <w:t>La chambre de céans constate que l’expertise pluridisciplinaire est fondée sur toutes les pièces du dossier, qu'elle comprend une anamnèse, qu'elle tient compte des plaintes exprimées par le recourant et de sa description d'une journée-type. Les experts ont, par ailleurs, consigné le résultat de leurs constatations objectives à la suite de leurs examens cliniques respectifs et ont précisé les diagnostics et limitations fonctionnelles retenus. Ils ont, au surplus, procédé à une appréciation générale interdisciplinaire de la capacité de travail du recourant, après évaluation consensuelle. Ce rapport d’expertise répond ainsi, sur le plan formel, à tous les réquisits jurisprudentiels pour se voir reconnaître une pleine valeur probante. Sur le fond, seul le volet orthopédique de l’expertise a été retenu comme ayant des conséquences sur la capacité de travail du recourant, ce qui n’est pas contesté par ce dernier. Lors de l’examen clinique, l’expert a demandé au recourant de lui décrire les limitations fonctionnelles qu’il constatait dans sa vie de tous les jours et ce dernier les a décrites en détail en p. 17 du rapport. Le médecin a constaté que le recourant marche en salle de consultation avec une légère boiterie droite, la marche sur la pointe des pieds étant difficile mais possible et la marche sur les talons étant possible, de même que la position monopodale. L’expert a soigneusement examiné l’imagerie médicale et les différents rapports médicaux, qu’il a commentés en p. 21 du rapport. Il a, notamment, constaté une légère boiterie droite lors de l’examen clinique et a noté les ressources internes faibles du recourant, souvent en incapacité de travail durant toute sa carrière professionnelle, ne parlant pas français, n’ayant pas de centre d’intérêt particulier, ni de passions, à part quelques courtes promenades et sans activité particulière. Le manque de capacité en informatique et l’attitude passive du recourant avec, en particulier, sa vision négative de l’avenir, font partie des difficultés qui sont évoquées par le Dr C______. Dans son appréciation médicale du 25 mai 2025, le médecin traitant du recourant, le Prof. F______, mentionne les mêmes limitations fonctionnelles que celles retenues par l’intimé. Il retient, sur un plan général, que l’état ostéoarticulaire du recourant ne lui permet plus de travailler sur un chantier et notamment d’exercer l’activité habituelle de maçon dans le bâtiment. Il mentionne des lésions du genou et du pied qui ont aggravé une boiterie douloureuse et handicapante, en supination, ainsi que diverses comorbidités. S’agissant de l’expertise administrative, les résultats sont convaincants et les conclusions sont sérieusement motivées ; les avis ne contiennent pas de contradictions et aucun indice concret ne permet de mettre en cause leur bien-fondé. On ne constate pas de contradictions entre le rapport d’expertise orthopédique et le rapport médical du Prof. F______. Ce dernier est plus concis et moins élaboré que le rapport d’expertise et ne bénéficie pas des apports supplémentaires de l’évaluation consensuelle. La chambre de céans considère que le rapport d’expertise présente une pleine valeur probante et que le taux de capacité de travail plus bas, retenu par le Prof. F______, ne montre pas de contradictions ou d’éléments ignorés lors de l’expertise, mais résulte d’une appréciation médicale différente, qui ne saurait remettre en question la valeur probante de l’expertise, étant rappelé que le juge peut et doit tenir compte du fait que, selon l'expérience, le médecin traitant est généralement enclin, en cas de doute, à prendre parti pour son patient en raison de la relation de confiance qui l'unit à ce dernier (ATF 125 V 351 consid. 3b/cc). De plus, comme l’a fait remarquer le SMR, le Prof. F______ n’a pas tenu compte d’un chaussage adapté, par chaussure médicale XELERO associée à un support plantaire, ce dispositif étant de nature à réduire la boiterie et les douleurs au genou et au pied de l’assuré.</w:t>
      </w:r>
    </w:p>
    <w:p>
      <w:r>
        <w:rPr>
          <w:b/>
        </w:rPr>
        <w:t>E. 9.4</w:t>
      </w:r>
    </w:p>
    <w:p>
      <w:r>
        <w:t>En ce qui concerne le deuxième grief, soit le taux d’abattement de 10% critiqué par le recourant,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 ATF 148 V 174 consid. 6.3 et les références ; 146 V 16 consid. 4.1 et ss. et les références). L'étendue de l'abattement justifié dans un cas concret relève du pouvoir d'appréciation (ATF 132 V 393 consid. 3.3). En l’espèce, même s’il n’a pas la nationalité suisse, le recourant dispose d’un permis d’établissement, ce qui lui permet d’exercer un large éventail de professions. En ce qui concerne l’âge du recourant (51 ans),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(arrêts du Tribunal fédéral 8C_227/2017 du 17 mai 2018 consid. 5 ; 8C_403/2017 du 25 août 2017 consid. 4.4.1 ; 8C_805/2016 du 22 mars 2017 consid. 3.4.3). Il a également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Il a également retenu un taux d’abattement de 10% dans le cas d’une assurée, âgée de 50 ans au moment déterminant de la comparaison des revenus et de surcroît absente depuis de nombreuses années du marché du travail, qui présentait des limitations fonctionnelles objectives d'ordre psychique, lesquelles n’étaient nullement compensées par d'autres éléments personnels ou professionnels tels que la formation ou l'expérience professionnelle (arrêt du Tribunal fédéral 9C_341/2023 du 29 janvier 2024 consid. 6.2.3). Cette évaluation du taux d’abattement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Étant encore précisé que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Il ressort des pièces du dossier que les médecins ont relevé les difficultés linguistiques et le manque de formation du recourant. S’ajoute à cela l’éloignement du marché du travail pendant plusieurs années. Or, ces éléments personnels et professionnels doivent être pris en compte dans la mesure où, loin de compenser l’élément négatif de l’âge, ils s’additionnent à ce dernier pour désavantager le recourant sur le critère de la rémunération qu’il peut raisonnablement espérer. Partant, après analyse du cas concret, la chambre de céans considère que les effets sur la rémunération de ces éléments ont été quelque peu sous-estimés par l’intimé et qu’il faut retenir un taux d’abattement de 15% en lieu et place de celui de 10% retenu par l’intimé. Le montant retenu pour le salaire avec invalidité et le salaire sans invalidité n’est pas critiqué par le recourant et se fonde, à juste titre, sur le tableau ESS TA1 tirage skill level pour un homme. Ainsi, le salaire après indexation selon ISS de CHF 67'472.- est repris à hauteur de 70% après déduction de la perte de rendement de 30%, ce qui aboutit à un montant de CHF 47’230.40. En appliquant un taux d’abattement de 15%, on aboutit à un revenu annuel brut avec invalidité de CHF 40’146.-, en lieu et place de CHF 42'507.-. Le manque à gagner, par rapport au revenu sans invalidité pour un plein temps de CHF 71'600.-, est de CHF 31'454.-, soit 43.9% arrondi à 44% en lieu et place de 40.63% arrondi à 41% avec la perte de gain de CHF 29’093.- retenue par l’OAI en se fondant sur un taux d’abattement de 10%. À l’aune de ce qui précède, il convient de réformer la décision entreprise en retenant un taux d’invalidité de 44% en lieu et place de 41%, ce qui entraîne un droit à une rente d’une quotité de 35% (art. 28b al. 4 LAI et renvoi à l’annexe 3, taux d’invalidité et de rente) en lieu et place de 27.5 %</w:t>
      </w:r>
    </w:p>
    <w:p>
      <w:r>
        <w:rPr>
          <w:b/>
        </w:rPr>
        <w:t>E. 9.5</w:t>
      </w:r>
    </w:p>
    <w:p>
      <w:r>
        <w:t>En ce qui concerne les mesures de réadaptation demandées par le recourant,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 cf .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À cet égard, il convient de rappeler les appréciations de l’expert orthopédiste selon lesquelles le recourant est passif et a une vision négative de l’avenir.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Partant, la décision de l’intimé selon laquelle le recourant dispose d’une capacité de travail de 100% dans une activité adaptée, avec une perte de rendement de 30%, doit être confirmée car le recourant n’a pas rendu vraisemblable que ce sont des limitations liées à son état de santé et non des facteurs dont l’assurance-invalidité n’a pas à répondre - comme le manque de formation et les difficultés linguistiques – qui l’entraveraient dans ses démarches pour retrouver un emploi, ce qui conduit à nier la nécessité d’une mesure de réadaptation.</w:t>
      </w:r>
    </w:p>
    <w:p>
      <w:r>
        <w:rPr>
          <w:b/>
        </w:rPr>
        <w:t>E. 10.1</w:t>
      </w:r>
    </w:p>
    <w:p>
      <w:r>
        <w:t>En conclusion, la décision querellée sera uniquement réformée sur la question du taux d’invalidité et de la quotité de rente retenue et confirmée pour le surplus.</w:t>
      </w:r>
    </w:p>
    <w:p>
      <w:r>
        <w:rPr>
          <w:b/>
        </w:rPr>
        <w:t>E. 10.2</w:t>
      </w:r>
    </w:p>
    <w:p>
      <w:r>
        <w:t>Le recourant, assisté par un mandataire professionnellement qualifié et obtenant partiellement gain de cause, a ainsi droit à une indemnité à titre de participation à ses frais et dépens, que la chambre de céans fixera à CHF 2'000.- (art. 61 let. g LPGA ; art. 89H al. 3 LPA ; art. 6 du règlement sur les frais, émoluments et indemnités en procédure administrative du 30 juillet 1986 [RFPA - RS E 5 10.03]).</w:t>
      </w:r>
    </w:p>
    <w:p>
      <w:r>
        <w:rPr>
          <w:b/>
        </w:rPr>
        <w:t>E. 10.3</w:t>
      </w:r>
    </w:p>
    <w:p>
      <w:r>
        <w:t>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