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A/258/2023 vom 16. Januar 2024</w:t>
      </w:r>
    </w:p>
    <w:p>
      <w:r>
        <w:t>GE Cour de justice, 2024-01-16, FR</w:t>
      </w:r>
    </w:p>
    <w:p>
      <w:r>
        <w:rPr>
          <w:b/>
        </w:rPr>
        <w:t xml:space="preserve">Quelle: </w:t>
      </w:r>
      <w:r>
        <w:t>https://mcp.opencaselaw.ch/entscheid/ge_gerichte_A_258_2023</w:t>
      </w:r>
    </w:p>
    <w:p>
      <w:r>
        <w:t>FR: GE_GERICHTE A/258/2023 du 16 janvier 2024</w:t>
      </w:r>
    </w:p>
    <w:p>
      <w:r>
        <w:t>IT: GE_GERICHTE A/258/2023 del 16 gennaio 2024</w:t>
      </w:r>
    </w:p>
    <w:p>
      <w:pPr>
        <w:pStyle w:val="Heading2"/>
      </w:pPr>
      <w:r>
        <w:t>Erwägungen</w:t>
      </w:r>
    </w:p>
    <w:p>
      <w:r>
        <w:rPr>
          <w:b/>
        </w:rPr>
        <w:t>E. 2</w:t>
      </w:r>
    </w:p>
    <w:p>
      <w:r>
        <w:t>Est litigieux le refus d’octroi d’une autorisation de séjour pour cas d’extrême gravité et le renvoi du recourant.![endif]&gt;![if&gt;</w:t>
      </w:r>
    </w:p>
    <w:p>
      <w:r>
        <w:rPr>
          <w:b/>
        </w:rPr>
        <w:t>E. 2.1</w:t>
      </w:r>
    </w:p>
    <w:p>
      <w:r>
        <w:t>Le 1 er janvier 2019 est entrée en vigueur une modification de la LEI et de l’OASA. Conformément à l'art. 126 al. 1 LEI, les demandes déposées, comme en l’espèce, avant le 1er janvier 2019 sont régies par l’ancien droit.![endif]&gt;![if&gt;</w:t>
      </w:r>
    </w:p>
    <w:p>
      <w:r>
        <w:rPr>
          <w:b/>
        </w:rPr>
        <w:t>E. 2.2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2).![endif]&gt;![if&gt;</w:t>
      </w:r>
    </w:p>
    <w:p>
      <w:r>
        <w:rPr>
          <w:b/>
        </w:rPr>
        <w:t>E. 2.5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2.6</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2.7</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3.2).![endif]&gt;![if&gt;</w:t>
      </w:r>
    </w:p>
    <w:p>
      <w:r>
        <w:rPr>
          <w:b/>
        </w:rPr>
        <w:t>E. 2.8</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2.9</w:t>
      </w:r>
    </w:p>
    <w:p>
      <w:r>
        <w:t>En l’espèce, le recourant soutient séjourner en Suisse depuis 2010. Cette durée ne peut être retenue, dès lors qu’en février 2012, le séjour du recourant a été interrompu par son renvoi. Ainsi, un séjour continu en Suisse ne pourrait être retenu qu’à compter du printemps 2012. Cela étant, une telle durée de séjour, même si elle était établie, devrait être relativisée au regard du fait qu’il a été effectué dans l’illégalité.![endif]&gt;![if&gt; Le recourant soutient qu’il ne peut être tenu compte de ses condamnations pénales, qui sont liées à son statut de clandestin. Or, sa condamnation pour pornographie, accueil de personnes séjournant en situation illégale ainsi que celle pour faux dans les titres relative à l’attestation de G______ ne sont pas liées à son statut de clandestin. En outre, il apparaît que le recourant n’a pas respecté l’interdiction d’entrée prononcée à son encontre. Après avoir été renvoyé de Suisse en février 2012, il soutient y être revenu quelques semaines après, alors qu’il a reconnu avoir connaissance de l’interdiction d’entrée en Suisse valable jusqu’en novembre 2015. Il ne peut ainsi se targuer d’une intégration sociale réussie, n’ayant, à plusieurs titres, pas respecté l’ordre public suisse, élément au demeurant expressément requis par l’« opération Papyrus ». Par ailleurs, le recourant ne remplit pas les conditions permettant de retenir l’existence d’un cas de rigueur. Comme déjà évoqué, il ne peut se prévaloir d’une intégration sociale remarquable, quand bien même il est financièrement indépendant, ne fait pas l'objet de poursuites et n’a pas recouru à l’aide sociale. Il ne soutient pas non plus avoir noué à Genève des liens affectifs ou amicaux d’une intensité telle qu’il ne pourrait les poursuivre par le biais de moyens de télécommunication modernes une fois de retour au Kosovo. Il ne fait pas non plus valoir qu’il s’investirait d’une quelconque manière dans la vie associative, sportive ou culturelle à Genève. Il n’est pas contesté qu’il a œuvré à Genève en tant que peintre en bâtiment. Cette activité ne présente toutefois pas un degré de réussite tel qu’il ne pourrait être exigé de sa part de la poursuivre dans son pays d’origine. Au contraire, il apparaît que le recourant pourra, en cas de retour dans son pays, mettre à profit l’expérience professionnelle et les connaissances de la langue française acquises durant son séjour en Suisse. Le recourant indique avoir quitté le Kosovo alors qu’il était âgé de 33 ans. Il y a donc passé son enfance, son adolescence et une partie de sa vie d’adulte. Il connaît donc les us et coutumes de son pays et en parle la langue. Il y est régulièrement retourné, y ayant conservé des liens affectifs forts, son épouse et ses deux enfants y vivant notamment. Le recourant est en bonne santé. Ainsi, quand bien même après plusieurs années passées à l’étranger, il traversera à son retour dans son pays une nécessaire phase de réadaptation, sa réintégration socio‑professionnelle ne paraît pas gravement compromise. Contrairement à ce qu’il fait valoir, l’octroi de visas de retour entre 2017 et 2019 ne constitue aucune garantie du droit de résider en Suisse. Lors de leur octroi, le recourant avait requis une autorisation de séjour et la procédure suivait son cours. Aucun élément ne lui permettait de déduire de l’octroi de visas de retour – dont le but, humanitaire, est de permettre aux personnes dont la procédure est en cours de pouvoir rendre visite à leur famille – une quelconque garantie d’octroi d’un titre de séjour. Au vu de l’ensemble de ces éléments, l’OCPM n’a pas violé le droit ni abusé de son pouvoir d’appréciation en retenant que le recourant ne remplissait pas les conditions restrictives permettant l’octroi d’une autorisation de séjour pour cas de rigueur.</w:t>
      </w:r>
    </w:p>
    <w:p>
      <w:r>
        <w:rPr>
          <w:b/>
        </w:rPr>
        <w:t>E. 3</w:t>
      </w:r>
    </w:p>
    <w:p>
      <w:r>
        <w:t>Il convient encore d’examiner si le renvoi prononcé par l’OCPM est fondé.![endif]&gt;![if&gt;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3.2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dossier.![endif]&gt;![if&gt; Mal fondé, le recours sera rejeté.</w:t>
      </w:r>
    </w:p>
    <w:p>
      <w:r>
        <w:rPr>
          <w:b/>
        </w:rPr>
        <w:t>E. 4</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