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A/2578/2009 vom 18. Februar 2010</w:t>
      </w:r>
    </w:p>
    <w:p>
      <w:r>
        <w:t>GE Cour de justice, 2010-02-18, FR</w:t>
      </w:r>
    </w:p>
    <w:p>
      <w:r>
        <w:rPr>
          <w:b/>
        </w:rPr>
        <w:t xml:space="preserve">Quelle: </w:t>
      </w:r>
      <w:r>
        <w:t>https://mcp.opencaselaw.ch/entscheid/ge_gerichte_A_2578_2009</w:t>
      </w:r>
    </w:p>
    <w:p>
      <w:r>
        <w:t>FR: GE_GERICHTE A/2578/2009 du 18 février 2010</w:t>
      </w:r>
    </w:p>
    <w:p>
      <w:r>
        <w:t>IT: GE_GERICHTE A/2578/2009 del 18 febbraio 2010</w:t>
      </w:r>
    </w:p>
    <w:p>
      <w:pPr>
        <w:pStyle w:val="Heading2"/>
      </w:pPr>
      <w:r>
        <w:t>Regeste</w:t>
      </w:r>
    </w:p>
    <w:p>
      <w:r>
        <w:t>Vente de gré à gré. Concordat. Mode de liquidation. | Rejetée. Le mode de faire quant à la liquidation de ce concordat a été approuvé par le Tribunal de première instance lors de l'homologation. L'art. 256 LP en tant qu'il impose, s'agissant d'un immeuble ou de biens de valeur élévée, d'offrir aux créanciers de surenchérir, ne trouve pas application dans le cadre d'un concordat par abandon d'actifs. | LP.256; LP.306; LP.318; LP.322</w:t>
      </w:r>
    </w:p>
    <w:p>
      <w:pPr>
        <w:pStyle w:val="Heading2"/>
      </w:pPr>
      <w:r>
        <w:t>Erwägungen</w:t>
      </w:r>
    </w:p>
    <w:p>
      <w:r>
        <w:rPr>
          <w:b/>
        </w:rPr>
        <w:t>E. 1</w:t>
      </w:r>
    </w:p>
    <w:p>
      <w:r>
        <w:t>La rejette.</w:t>
      </w:r>
    </w:p>
    <w:p>
      <w:r>
        <w:rPr>
          <w:b/>
        </w:rPr>
        <w:t>E. 2</w:t>
      </w:r>
    </w:p>
    <w:p>
      <w:r>
        <w:t>Déboute les parties de toutes autres conclusions. Siégeant : M. Philippe GUNTZ, président ; MM. Philipp GANZONI et Christian CHAVAZ, juges assesseurs. Au nom de la Commission de surveillance : Véronique PISCETTA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