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A/2576/2022 vom 26. April 2023</w:t>
      </w:r>
    </w:p>
    <w:p>
      <w:r>
        <w:t>GE Cour de justice, 2023-04-26, FR</w:t>
      </w:r>
    </w:p>
    <w:p>
      <w:r>
        <w:rPr>
          <w:b/>
        </w:rPr>
        <w:t xml:space="preserve">Quelle: </w:t>
      </w:r>
      <w:r>
        <w:t>https://mcp.opencaselaw.ch/entscheid/ge_gerichte_A_2576_2022</w:t>
      </w:r>
    </w:p>
    <w:p>
      <w:r>
        <w:t>FR: GE_GERICHTE A/2576/2022 du 26 avril 2023</w:t>
      </w:r>
    </w:p>
    <w:p>
      <w:r>
        <w:t>IT: GE_GERICHTE A/2576/2022 del 26 aprile 2023</w:t>
      </w:r>
    </w:p>
    <w:p>
      <w:pPr>
        <w:pStyle w:val="Heading2"/>
      </w:pPr>
      <w:r>
        <w:t>Erwägungen</w:t>
      </w:r>
    </w:p>
    <w:p>
      <w:r>
        <w:rPr>
          <w:b/>
        </w:rPr>
        <w:t>E. 4</w:t>
      </w:r>
    </w:p>
    <w:p>
      <w:r>
        <w:t>Le litige porte sur le droit du demandeur à une rente d’invalidité de la prévoyance professionnelle à charge de la caisse défenderesse.![endif]&gt;![if&gt;</w:t>
      </w:r>
    </w:p>
    <w:p>
      <w:r>
        <w:rPr>
          <w:b/>
        </w:rPr>
        <w:t>E. 5</w:t>
      </w:r>
    </w:p>
    <w:p>
      <w:r>
        <w:t>L’art. 10 LPP dispose que l’assurance obligatoire commence en même temps que les rapports de travail ; pour les bénéficiaires d’indemnités journalières de l’assurance-chômage, elle commence le jour où ils perçoivent pour la première fois une indemnité de chômage (al. 1). Selon l'alinéa 2 de cette disposition, l’obligation d’être assuré cesse, sous réserve de l’art. 8 al. 3 LPP, à l’âge ordinaire de la retraite (let. a) ; en cas de dissolution des rapports de travail (let. b); lorsque le salaire minimum n’est plus atteint (let. c) ; lorsque le droit aux indemnités journalières de l’assurance-chômage s’éteint (let. d).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4).![endif]&gt;![if&gt;</w:t>
      </w:r>
    </w:p>
    <w:p>
      <w:r>
        <w:rPr>
          <w:b/>
        </w:rPr>
        <w:t>E. 6</w:t>
      </w:r>
    </w:p>
    <w:p>
      <w:r>
        <w:t>![endif]&gt;![if&gt;</w:t>
      </w:r>
    </w:p>
    <w:p>
      <w:r>
        <w:rPr>
          <w:b/>
        </w:rPr>
        <w:t>E. 6.1</w:t>
      </w:r>
    </w:p>
    <w:p>
      <w:r>
        <w:t>Conformément à l’art. 23 let. a LPP, ont droit à des prestations d’invalidité les personnes qui sont invalides à raison de 40% au moins au sens de l’AI, et qui étaient assurées lorsqu’est survenue l’incapacité de travail dont la cause est à l’origine de l’invalidité. En vertu de l'art. 24 al. 1 LPP, l'assuré a droit à une rente entière s'il est invalide à raison 70% au moins au sens de l'AI (let. a) ; à trois quarts de rente s'il est invalide à raison de 60% au moins (let. b) ; à une demi-rente s'il est invalide à raison de 50% au moins (let. c) ; à un quart de rente s'il est invalide à raison de 40% au moins (let. d).![endif]&gt;![if&gt; Comme cela ressort du texte de l’art. 23 LPP, les prestations sont dues par l’institution de prévoyance à laquelle l’intéressé est ou était affilié au moment de la survenance de l’événement assuré. Dans la prévoyance obligatoire, ce moment ne coïncide pas avec la naissance du droit à la rente de l’assurance-invalidité selon l’art. 28 al. 1 let. b de la loi fédérale sur l’assurance-invalidité du 19 juin 1959 (LAI - RS 831.20), mais correspond à la survenance de l’incapacité de travail dont la cause est à l’origine de l’invalidité ; les mêmes principes sont applicables en matière de prévoyance plus étendue, à tout le moins en l’absence de dispositions réglementaires ou statutaires contraires.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w:t>
      </w:r>
    </w:p>
    <w:p>
      <w:r>
        <w:rPr>
          <w:b/>
        </w:rPr>
        <w:t>E. 6.2</w:t>
      </w:r>
    </w:p>
    <w:p>
      <w:r>
        <w:t>Selon la jurisprudence et la définition générale de l’art. 6 LPGA, l’on entend par incapacité de travail toute perte ou diminution de la capacité de rendement de l’assuré dans sa profession ou son domaine d’activité. Afin que cette perte puisse devenir pertinente pour le droit de la prévoyance, elle doit, aussi bien qualitativement, atteindre une certaine importance. Ainsi, une perte d’au moins 20% est exigée, d’après une pratique bien établie (ATF 144 V 58 consid. 4.4 ; arrêt du Tribunal fédéral 9C_162/2013 du 8 août 2013 consid. 2.1.2 ;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 consid. 4.2 ; arrêt du Tribunal fédéral des assurances B 49/03 du 23 septembre 2004 consid. 2.3). Une incapacité de travail pertinente au sens de l’art. 23 LPP n’est pas donnée uniquement lorsque la personne assurée ne peut plus ou que partiellement exercer l’activité précédente pour des raisons de santé. Elle existe aussi lorsque l’activité ne peut plus être poursuivie sans aggraver l’état de santé de la personne (arrêt du Tribunal fédéral 9C_18/2009 consid. 4.2).![endif]&gt;![if&gt; 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commerciales ou médicales spéculatives, telles que par exemple une incapacité de travail établie rétroactivement de manière médico-théorique après de nombreuses années, ne suffisent pas (arrêts du Tribunal fédéral 9C_162/2013 du 8 août 2013 consid. 2.1.2 ; 9C_653/2016 du 2 mars 2017 consid. 4.4 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Cela étant, des évaluations médicales établies rétrospectivement, peuvent, dans certains cas, représenter un complément de preuve important, en particulier en cas de tableaux cliniques avec une évolution instable, pour lesquels la succession de périodes d’incapacités de travail et de capacité de travail ne peut être évaluée de manière fiable qu’à la lumière de constatations ultérieures (arrêt du Tribunal fédéral 9C_599/2013 du 24 février 2014 consid. 4.2.2).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en temps réel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9C_61/2014 du 23 juillet 2014 consid. 5.1 et les références).</w:t>
      </w:r>
    </w:p>
    <w:p>
      <w:r>
        <w:rPr>
          <w:b/>
        </w:rPr>
        <w:t>E. 6.3</w:t>
      </w:r>
    </w:p>
    <w:p>
      <w:r>
        <w:t>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4.1).![endif]&gt;![if&gt;</w:t>
      </w:r>
    </w:p>
    <w:p>
      <w:r>
        <w:rPr>
          <w:b/>
        </w:rPr>
        <w:t>E. 6.3.1</w:t>
      </w:r>
    </w:p>
    <w:p>
      <w:r>
        <w:t>Il y a connexité matérielle si l’affection à l’origine de l’invalidité est en substance la même que celle qui s’est déjà manifestée durant le rapport de prévoyance et qui a entraîné une incapacité de travail (ATF 134 V 20 , consid. 3.2).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Pour la part de l’invalidité totale qui est due à des troubles qui ne se sont manifestés de sorte à donner 348 lieu à des prestations qu’après que la personne assurée ait quitté l’institution de prévoyance, la connexité matérielle nécessaire fait défaut (Marc HÜRZELER, in SCHNEIDER/GEISER/GÄCHTER, Commentaire des assurances sociales suisses, LPP et LFLP, Berne 2020, ad art. 23 LPP N 28 et les références). Dans cette optique, une connexité matérielle doit être niée par exemple lorsque l’octroi d’une rente fondée sur le droit de l’assurance-invalidité d’une rente d’invalidité résulte uniquement des troubles psychiques diagnostiqués chez le demandeur de la prestation, et qu’aucun élément ne permet cependant de déduire des rapports médicaux et des expertises – même par une interprétation très large – l’existence, déjà pendant le rapport de prévoyance, d’un trouble psychique et d’une incapacité de travail qui en résulte, mais que seules des incapacités de travail provoquées uniquement par des douleurs dorsales ont été attestées pendant la période où le demandeur avait la qualité d’assuré ; ceci est le cas même s’il apparaît évident que les problèmes dorsaux à la base de l’incapacité de travail avaient déjà à l’époque une influence sur l’état psychique et la situation psychosociale de la personne assurée (arrêt du Tribunal fédéral des assurances B 9/06 du 21 novembre 2006, cons. 4. C). Une connexité matérielle fait défaut lorsqu’une superposition psychogène de douleurs corporelles combinée avec une tendance à l’aggravation n’a pas encore pu être qualifiée de maladie au moment de l’arrêt du travail et que, en tant que trouble psychique, elle n’a pas été à même de restreindre de manière déterminante la capacité de travail, mais qu’un trouble psychique ayant atteint la qualité de maladie a toutefois par la suite été à la base de l’invalidité (arrêt du Tribunal fédéral des assurances B 73/05 du 3 mai 2006 ; RSAS 2007, p. 163).![endif]&gt;![if&gt;</w:t>
      </w:r>
    </w:p>
    <w:p>
      <w:r>
        <w:rPr>
          <w:b/>
        </w:rPr>
        <w:t>E. 6.3.2</w:t>
      </w:r>
    </w:p>
    <w:p>
      <w:r>
        <w:t>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 de 80% dans une activité adaptée pendant plus de trois mois (ATF 144 V 58 consid. 4.4) et que celle-ci lui permette de réaliser un revenu excluant le droit à une rente (ATF 134 V 20 consid. 5.3 ; arrêt du Tribunal fédéral 9C_375/2019 du 25 septembre 2019 consid. 4.2 et les références citées).![endif]&gt;![if&gt;</w:t>
      </w:r>
    </w:p>
    <w:p>
      <w:r>
        <w:rPr>
          <w:b/>
        </w:rPr>
        <w:t>E. 6.4</w:t>
      </w:r>
    </w:p>
    <w:p>
      <w:r>
        <w:t>Conformément à l’art. 26 al. 1 LPP, les dispositions de la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Cependant, l’office AI est tenu de notifier d’office une décision de rente à toutes les institutions de prévoyance entrant en considération (ATF 129 V 73 ).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![endif]&gt;![if&gt; Dans son ATF 140 V 470 (consid. 3.2 à 3.4), le Tribunal fédéral a considéré que depuis l'entrée en vigueur de la 5 ème révision de l'AI, le droit à des prestations d'invalidité de la prévoyance professionnelle obligatoire commençait avec la naissance du droit à une rente, soit au plus tôt six mois après le dépôt de la demande auprès de l'assurance-invalidité.</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w:t>
      </w:r>
    </w:p>
    <w:p>
      <w:r>
        <w:rPr>
          <w:b/>
        </w:rPr>
        <w:t>E. 8</w:t>
      </w:r>
    </w:p>
    <w:p>
      <w:r>
        <w:t>![endif]&gt;![if&gt;</w:t>
      </w:r>
    </w:p>
    <w:p>
      <w:r>
        <w:rPr>
          <w:b/>
        </w:rPr>
        <w:t>E. 8.1</w:t>
      </w:r>
    </w:p>
    <w:p>
      <w:r>
        <w:t>En l’espèce, la défenderesse conteste tout d’abord que l’incapacité de travail à l’origine de l’invalidité, reconnue par l’OAI dans sa décision du 30 mars 2021, soit survenue alors que le demandeur était encore assuré auprès d’elle. Elle rappelle qu’à teneur de la décision précédente de l’OAI, datée du 18 mai 2015 et non contestée par le demandeur, il avait été retenu qu’il n’existait pas de maladie justifiant une diminution de longue durée de la capacité de travail. C’est au final dans le cadre de la nouvelle demande de l’intéressé, déposée en 2019, qu’une incapacité de travail durable a été retenue, ce dès le 1 er juin 2017, qui plus est pour des motifs psychiatriques. L’affiliation ayant pris fin le 27 mai 2015, le demandeur n’avait plus la qualité d’assuré lors de la survenance d’une diminution durable de rendement d’au moins 20%.![endif]&gt;![if&gt;</w:t>
      </w:r>
    </w:p>
    <w:p>
      <w:r>
        <w:rPr>
          <w:b/>
        </w:rPr>
        <w:t>E. 8.2</w:t>
      </w:r>
    </w:p>
    <w:p>
      <w:r>
        <w:t>La chambre de céans relève cependant que la décision de l’OAI du 30 mars 2021 se fonde sur l’expertise du CEMEDEX du 28 juillet 2020 qu’elle considère, probante. Or, celle-ci retient, sur la base des éléments médicaux établis en temps réels par les médecins du demandeur, listés et discutés par les experts (cf. notamment expertise, p. 37 ss), que l’intéressé s’est toujours trouvé en incapacité de travail depuis mai 2012. Dès cette date et du fait de l’atteinte digestive, les experts évaluent consensuellement la capacité de travail comme nulle dans l’activité habituelle et de 20% dans une activité adaptée. Le SMR considère cette expertise comme convaincante, mais explique ne pas pouvoir « retenir la date de mai 2012 comme début d’incapacité de travail totale, en raison de la dernière décision entrée en force en mai 2015 (décision de l’OAI du 18.05.2015). Nous retenons la date de juin 2017, qui correspond à l’incapacité de travail totale durable depuis la dernière intervention chirurgicale » (pièce 138 OAI). ![endif]&gt;![if&gt; L’OAI n’estime donc pas qu’une incapacité de travail durable d’au moins 20% existe uniquement à partir de juin 2017. Au contraire, il considère qu’une telle incapacité est établie médicalement depuis mai 2012 mais qu’elle n’ouvre pas un droit à des prestations AI, pour des raisons procédurales (soit l’entrée en force d’une décision précédente retenant que la capacité de travail avait toujours été entière jusqu’en mai 2015). Dans ces circonstances, il appert qu’une incapacité de travail de 20% existait déjà pour des troubles digestifs depuis mai 2012, soit lorsque le demandeur était encore affilié à la caisse défenderesse. Au-delà des conclusions de l’expertise du CEMEDEX, qui ne semblent à cet égard guère critiquables, ce constat est également rendu hautement vraisemblable par le fait qu’à partir du 7 juin 2013 et jusqu’à fin mai 2015, le Dr E______ a établi chaque mois un certificat d’incapacité totale de travailler. Sur cette base, l’assureur perte de gain maladie de l’employeur a versé une indemnité journalière complète au recourant jusqu’à épuisement du droit, soit jusqu’au 27 mai 2015, au demeurant sans remettre en question l’incapacité de travail attestée. Au final, seul le SMR, dans son rapport du 10 mars 2015 (pièce 96 OAI), a initialement retenu une capacité de travail entière du recourant « depuis toujours », se fondant essentiellement sur le rapport du Dr F______ du 16 décembre 2014, indiquant que l’activité habituelle est exigible à 100% et qu’il n’y a aucune limitation fonctionnelle à prendre en considération. Force est cependant de constater qu’une lecture attentive du rapport du Dr F______ ne permet pas de retenir de telles conclusions, vu que son auteur y indique également (et en totale contradiction avec les éléments retenus par le SMR) que l’incapacité de travail est de 100% depuis le 7 juin 2014, pour une durée indéfinie (p. 2) et qu’un travail de bureau est préconisé pour réduire les limitations fonctionnelles (p. 3), lesquelles ne sont cependant pas citées dans le rapport (pièce 88 OAI). Ce rapport est ainsi contradictoire et particulièrement peu convaincant. Il n’est donc guère surprenant que, le 18 août 2020 (pièce 138 OAI), le SMR soit explicitement revenu sur sa position du 10 mars 2015, reconnaissant, sur la base de l’expertise du CEMEDEX, que la capacité de travail est réduite (de 100% dans l’activité habituelle et 20% dans une activité adaptée) depuis mai 2012. Son appréciation précédente n’était en effet pas soutenable. Au vu de ces éléments, il appert, au degré de preuve requis de la vraisemblance prépondérante, qu’à partir d’une date antérieure à la fin des rapports de prévoyance professionnelle, le demandeur a vu sa capacité de rendement réduite de manière durable d’au moins 20% (soit dès le 7 juin 2013 selon le médecin traitant, l’employeur et l’assureur perte de gain, soit dès mai 2012 selon les experts) en raison d’atteintes à la santé. À teneur de l’expertise, les seules atteintes incapacitantes au 27 mai 2015 (fin de l’affiliation) sont d’ordre digestif et comprennent essentiellement, selon les explications consensuelles des experts, le status après sigmoidectomie pour diverticulite perforée, la constipation et les douleurs inguinales post-opératoires permanentes (expertise, p. 5, para. 4.9). Il s’agit des mêmes atteintes que celles retenues par les médecins traitants à la même époque.</w:t>
      </w:r>
    </w:p>
    <w:p>
      <w:r>
        <w:rPr>
          <w:b/>
        </w:rPr>
        <w:t>E. 8.3</w:t>
      </w:r>
    </w:p>
    <w:p>
      <w:r>
        <w:t>Reste à examiner si ces atteintes sont les mêmes que celles à l’origine de l’invalidité admise par l’OAI dans sa décision du 30 mars 2021 (connexité matérielle) et si le demandeur n’a pas retrouvé sa pleine capacité de travail postérieurement à la fin de son affiliation, soit le 27 mai 2015 (connexité temporelle).![endif]&gt;![if&gt; Pour rappel, le taux d’invalidité retenu par l’OAI est fondé sur les conclusions de l’expertise du CEMEDEX relatives à la capacité de travail au moment de la naissance du droit à la rente, soit au 1 er septembre 2019, capacité considérée nulle dans l’activité habituelle du demandeur mais de 64% dans une activité adaptée. Une fois opérée une déduction de 10% supplémentaires sur le salaire statistique en raison du taux d’activité réduit et des années de service, l’OAI a abouti à un taux d’invalidité de 63%. Si le calcul du taux n’apparaît pas critiquable, il se fonde sur des atteintes incapacitantes partiellement distinctes de celles qui prévalaient le 27 mai 2015. Outre l’incapacité résultant de diagnostics d’ordres digestifs, il inclut ainsi désormais des incapacités de travail résultant de troubles d’ordres psychiatriques et rhumatologiques existant respectivement, depuis janvier 2018 et mars 2019, soit plusieurs années après la fin du rapport d’assurance ayant lié les parties. Or, en vertu de l’exigence d’un rapport d’étroite connexité matérielle, il incombe à l’institution de prévoyance de prendre en charge uniquement l’invalidité résultant de la maladie assurée, soit en l’occurrence les seuls troubles digestifs. Selon les conclusions de l’expertise CEMEDEX que l’OAI a fait siennes, lesdits troubles sont invariablement la cause, depuis 2012, d’une incapacité de travail totale dans l’activité habituelle et de 20% dans une activité adaptée. C’est donc uniquement sur la base de ces 20% qu’il convient de calculer le degré d’invalidité pertinent sous l’angle de la LPP. Ainsi, en reprenant pour le surplus les références de l’OAI (pièce 143 OAI) et en les adaptant, le calcul d’invalidité se présente comme suit : Revenu sans invalidité actualisé : CHF 103'917.- Revenu statistique (ESS 2016 TA1 homme) actualisé : CHF 67'102.- Temps de travail exigible : 80% Réduction (taux réduit et années de service) : 10% Revenu avec invalidité actualisé : CHF 48’314.- Perte de gain subie du fait de l’atteinte assurée : CHF 55'603.- Degré d’invalidité du fait de l’atteinte assurée : 53.5% Le demandeur est donc invalide à hauteur de 53.5% du fait des seuls troubles digestifs déjà incapacitants alors qu’il était encore affilié auprès de la défenderesse.</w:t>
      </w:r>
    </w:p>
    <w:p>
      <w:r>
        <w:rPr>
          <w:b/>
        </w:rPr>
        <w:t>E. 8.3.1</w:t>
      </w:r>
    </w:p>
    <w:p>
      <w:r>
        <w:t>La défenderesse estime cependant encore qu’il ne lui incombe pas de prester, du fait que le lien de connexité temporel ferait défaut. Rien n’indique cependant que le demandeur aurait retrouvé sa capacité de travail pendant une longue période après le 27 mai 2015. À l’épuisement de ses indemnités journalières (versées pour cause de maladie), le demandeur a bénéficié de prestations d’assistance de la part de l’Hospice général, ce en tout cas jusqu’à l’octroi de sa rente AI. Il n’a jamais touché d’indemnités de la part de l’assurance-chômage et n’a donc jamais été considéré apte au placement. Sa seule tentative de se réinsérer sur le marché de l’emploi effectuée dans le cadre d’une tentative de réinsertion professionnelle avec le soutien de l’Hospice général en tant que surveillant de musée n’a pas aboutie et a été abandonnée après un mois, le 23 mai 2017, lorsque l’assuré a dû subir une cure de hernie inguinale bilatérale. Quand bien même l’intéressé n’a pas continué à faire établir des certificats d’incapacité mensuels au-delà du mois de mai 2015 (faute probablement d’avoir un employeur ou un assureur perte de gain auprès de qui les produire), rien au dossier ne laisse présager une quelconque amélioration des troubles digestifs (ici seuls pertinents). Au contraire, comme cela ressort notamment clairement de l’expertise du CEDEMEX avalisée par l’OAI, la situation est à cet égard inchangée depuis 2012. ![endif]&gt;![if&gt; Il existe donc également une étroite connexité temporelle entre l’incapacité de travail qui prévalait au terme de l’affiliation et la part de l’invalidité résultant des troubles digestifs.</w:t>
      </w:r>
    </w:p>
    <w:p>
      <w:r>
        <w:rPr>
          <w:b/>
        </w:rPr>
        <w:t>E. 9</w:t>
      </w:r>
    </w:p>
    <w:p>
      <w:r>
        <w:t>Compte tenu de ce qui précède, le demandeur a droit, dès le 1 er septembre 2019 (naissance du droit à la rente AI), au versement d’une demi-rente d’invalidité de la part de la défenderesse, fondé sur un taux d’invalidité de 52.5%.![endif]&gt;![if&gt;</w:t>
      </w:r>
    </w:p>
    <w:p>
      <w:r>
        <w:rPr>
          <w:b/>
        </w:rPr>
        <w:t>E. 10</w:t>
      </w:r>
    </w:p>
    <w:p>
      <w:r>
        <w:t>Enfin, il sera renoncé à l’audition du Dr E______, requise par le demandeur, par appréciation anticipée des preuves.![endif]&gt;![if&gt;</w:t>
      </w:r>
    </w:p>
    <w:p>
      <w:r>
        <w:rPr>
          <w:b/>
        </w:rPr>
        <w:t>E. 11</w:t>
      </w:r>
    </w:p>
    <w:p>
      <w:r>
        <w:t>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 ATAS/565/2018 du 21 juin 2018).![endif]&gt;![if&gt; En l’espèce, il se justifie d’allouer une indemnité de CHF 2'000.- au demandeur à titre de dépens à charge de la défenderesse. 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