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A/256/2011 vom 5. April 2011</w:t>
      </w:r>
    </w:p>
    <w:p>
      <w:r>
        <w:t>GE Cour de justice, 2011-04-05, FR</w:t>
      </w:r>
    </w:p>
    <w:p>
      <w:r>
        <w:rPr>
          <w:b/>
        </w:rPr>
        <w:t xml:space="preserve">Quelle: </w:t>
      </w:r>
      <w:r>
        <w:t>https://mcp.opencaselaw.ch/entscheid/ge_gerichte_A_256_2011</w:t>
      </w:r>
    </w:p>
    <w:p>
      <w:r>
        <w:t>FR: GE_GERICHTE A/256/2011 du 5 avril 2011</w:t>
      </w:r>
    </w:p>
    <w:p>
      <w:r>
        <w:t>IT: GE_GERICHTE A/256/2011 del 5 aprile 2011</w:t>
      </w:r>
    </w:p>
    <w:p>
      <w:pPr>
        <w:pStyle w:val="Heading2"/>
      </w:pPr>
      <w:r>
        <w:t>Erwägungen</w:t>
      </w:r>
    </w:p>
    <w:p>
      <w:r>
        <w:rPr>
          <w:b/>
        </w:rPr>
        <w:t>E. 2</w:t>
      </w:r>
    </w:p>
    <w:p>
      <w:r>
        <w:t>ème Chambre En la cause Monsieur C_________, domiciliéà Genève, comparant avec élection de domicile en l'étude de Maître STOLLER FÜLLEMANN Monique recourant contre SUVA, CAISSE NATIONALE SUISSE D'ASSURANCE EN CAS D'ACCIDENTS, sise Fluhmattstrasse 1, 6002 Lucerne intimé Vu la décision sur opposition du 29 décembre 2010 ; Vu le recours du 28 janvier 2011 ; Vu les conclusions communes de la SUVA du 28 février 2011 et de l’assuré du 30 mars 2011, sollicitant la suspension de la présente procédure dans l’attente de l’issue de celle opposant l’assuré à l’Office de l'assurance-invalidité du canton de Genève (A/208/2011) ; Attendu qu’il s’avère effectivement que si la décision de l’Office AI dans la cause précitée était annulée, de sorte que l’Office AI devrait alors continuer à verser une allocation pour impotence à l’assuré, la présente procédure, portant sur le versement de ladite allocation d’impotence par la SUVA, deviendrait sans objet ; Qu’il convient donc de suspendre la présente cause jusqu’à droit jugé de façon définitive dans la cause A/208/2011) ;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 PAR CES MOTIFS, LA CHAMBRE DES ASSURANCES SOCIALES : Statuant sur incident Suspend l'instance en application de l’art. 14 LPA, jusqu’à droit connu dans la procédure A/208/2011.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