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A/255/2024 vom 7. Mai 2024</w:t>
      </w:r>
    </w:p>
    <w:p>
      <w:r>
        <w:t>GE Cour de justice, 2024-05-07, FR</w:t>
      </w:r>
    </w:p>
    <w:p>
      <w:r>
        <w:rPr>
          <w:b/>
        </w:rPr>
        <w:t xml:space="preserve">Quelle: </w:t>
      </w:r>
      <w:r>
        <w:t>https://mcp.opencaselaw.ch/entscheid/ge_gerichte_A_255_2024</w:t>
      </w:r>
    </w:p>
    <w:p>
      <w:r>
        <w:t>FR: GE_GERICHTE A/255/2024 du 7 mai 2024</w:t>
      </w:r>
    </w:p>
    <w:p>
      <w:r>
        <w:t>IT: GE_GERICHTE A/255/2024 del 7 maggio 2024</w:t>
      </w:r>
    </w:p>
    <w:p>
      <w:pPr>
        <w:pStyle w:val="Heading2"/>
      </w:pPr>
      <w:r>
        <w:t>Erwägungen</w:t>
      </w:r>
    </w:p>
    <w:p>
      <w:r>
        <w:rPr>
          <w:b/>
        </w:rPr>
        <w:t>E. 2</w:t>
      </w:r>
    </w:p>
    <w:p>
      <w:r>
        <w:t>Dans la mesure où le TAPI a déclaré le recours porté devant lui irrecevable, l’objet du litige est circonscrit à ce point. En tant que le recourant conteste le bien-fondé de la décision de l’OCPM, ses griefs ne sont donc pas recevables.</w:t>
      </w:r>
    </w:p>
    <w:p>
      <w:r>
        <w:rPr>
          <w:b/>
        </w:rPr>
        <w:t>E. 3</w:t>
      </w:r>
    </w:p>
    <w:p>
      <w:r>
        <w:t>Le recourant sollicite son audition ainsi que celle de son épouse, de E_____ et de D_____.</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 litige ne portant que sur la recevabilité du recours formé devant le TAPI, l’audition de l’épouse du recourant ne paraît pas pertinente. Le recourant n’allègue en effet pas qu’elle serait d’une quelconque manière intervenue ou aurait été témoin des faits ayant conduit au prononcé de l’irrecevabilité du recours. Le recourant, désormais assisté d’un avocat, a pu faire valoir son point de vue dans son recours devant la chambre de céans et produire toute pièce utile. Conformément à sa demande, un délai lui a été imparti pour compléter son recours. Il a ainsi eu l’occasion de s’exprimer. Il n’explique pas en quoi son audition permettrait d’apporter des éléments complémentaires à ceux déjà allégués. Enfin, l’audition de ses deux précédents mandataires, E_____ et le représentant de B_____, à qui il a donné procuration le 19 janvier 2024, ne sont pas de nature à apporter des éléments pertinents pour l’issue du litige, comme cela sera exposé ci-après. Il ne sera donc pas donné suite aux actes d’instruction sollicités.</w:t>
      </w:r>
    </w:p>
    <w:p>
      <w:r>
        <w:rPr>
          <w:b/>
        </w:rPr>
        <w:t>E. 4</w:t>
      </w:r>
    </w:p>
    <w:p>
      <w:r>
        <w:t>Il convient d’examiner si le jugement d’irrecevabilité est fondé.</w:t>
      </w:r>
    </w:p>
    <w:p>
      <w:r>
        <w:rPr>
          <w:b/>
        </w:rPr>
        <w:t>E. 4.1</w:t>
      </w:r>
    </w:p>
    <w:p>
      <w:r>
        <w:t>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w:t>
      </w:r>
    </w:p>
    <w:p>
      <w:r>
        <w:rPr>
          <w:b/>
        </w:rPr>
        <w:t>E. 4.2</w:t>
      </w:r>
    </w:p>
    <w:p>
      <w:r>
        <w:t>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ATA/495/2022 du 10 mai 2022 consid. 2c ; ATA/1373/2018 du 18 décembre 2018 consid. 8 ; ATA/1595/2017 précité consid. 3).</w:t>
      </w:r>
    </w:p>
    <w:p>
      <w:r>
        <w:rPr>
          <w:b/>
        </w:rPr>
        <w:t>E. 4.3</w:t>
      </w:r>
    </w:p>
    <w:p>
      <w:r>
        <w:t>En l’espèce, il n’est pas contesté que le recours devant le TAPI a été formé après l’échéance du délai de recours. Seule est litigieuse la question de savoir si le recourant peut se prévaloir d’un cas de force majeure au sens de l’art. 16 al. 1 LPA. Or, tel n’est pas le cas. Le recourant n’était, pendant le délai de recours, nullement entravé dans sa santé ou sa capacité d’agir ; il s’est au contraire clairement distancé des certificats médicaux produits par son précédent mandataire à ce sujet. Il n’est pas non plus allégué que son premier mandataire n’aurait pas été capable de l’assister en préparant pour lui l’acte de recours. Le recourant, désormais assisté d’un avocat, soutient que son premier mandataire aurait résilié le mandat en temps inopportun. Il ne précise cependant pas à quelle date la résiliation serait intervenue, de sorte que son caractère inopportun n’est pas établi. Il n’y a ainsi pas lieu de se prononcer sur la question de savoir si une résiliation en temps inopportun est assimilable à un cas de force majeure. Le fait qu’une telle résiliation, si elle était avérée, serait susceptible d’engager la responsabilité du mandataire n’y change rien. L’incompétence du second mandataire du recourant – voire la malhonnête dudit mandataire qui, selon le recourant, aurait produit un faux certificat médical devant le TAPI – ne constituent pas davantage un cas de force majeure au sens de l’art. 16 al. 1 er LPA. En effet, ni l’incompétence ni la malhonnêteté d’un mandataire, aussi blamables que de tels comportements soient, ne répondent à une circonstance comparable à une impossibilité objective ou subjective d’agir dans le délai de recours légal. À cela s’ajoute que le recourant s’est adressé à des personnes n’étant pas titulaires d’un brevet d’avocat et dont la qualité de MPQ dans le domaine du droit des étrangers n’était pas établie. Cette décision relève de son propre choix et non d’une circonstance sur laquelle il n’avait pas d’emprise. Au vu de ce qui précède, le TAPI a, sans violé la loi ni commettre d’abus de son pouvoir d’appréciation, considéré que les conditions restrictives permettant de restituer le délai de recours n’étaient pas remplies. Il a ainsi, à juste titre, déclaré irrecevable le recours pour cause de tardiveté. Manifestement mal fondé, le recours sera rejeté sans échange d’écritures (art. 72 LPA).</w:t>
      </w:r>
    </w:p>
    <w:p>
      <w:r>
        <w:rPr>
          <w:b/>
        </w:rPr>
        <w:t>E. 5</w:t>
      </w:r>
    </w:p>
    <w:p>
      <w:r>
        <w:t>Vu l’issue du litige, le recourant supportera un émolument de CHF 400.-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