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A/255/2014 vom 19. November 2014</w:t>
      </w:r>
    </w:p>
    <w:p>
      <w:r>
        <w:t>GE Cour de justice, 2014-11-19, FR</w:t>
      </w:r>
    </w:p>
    <w:p>
      <w:r>
        <w:rPr>
          <w:b/>
        </w:rPr>
        <w:t xml:space="preserve">Quelle: </w:t>
      </w:r>
      <w:r>
        <w:t>https://mcp.opencaselaw.ch/entscheid/ge_gerichte_A_255_2014</w:t>
      </w:r>
    </w:p>
    <w:p>
      <w:r>
        <w:t>FR: GE_GERICHTE A/255/2014 du 19 novembre 2014</w:t>
      </w:r>
    </w:p>
    <w:p>
      <w:r>
        <w:t>IT: GE_GERICHTE A/255/2014 del 19 novembre 2014</w:t>
      </w:r>
    </w:p>
    <w:p>
      <w:pPr>
        <w:pStyle w:val="Heading2"/>
      </w:pPr>
      <w:r>
        <w:t>Erwägungen</w:t>
      </w:r>
    </w:p>
    <w:p>
      <w:r>
        <w:rPr>
          <w:b/>
        </w:rPr>
        <w:t>E. 5</w:t>
      </w:r>
    </w:p>
    <w:p>
      <w:r>
        <w:t>ème Chambre En la cause Monsieur A______, domicilié à THÔNEX, comparant avec élection de domicile en l’Etude de Me Sandy ZAECH Madame B______, domiciliée à CHÊNE-BOURG demandeurs contre CPEG - CAISSE DE PREVOYANCE DE L'ETAT DE GENEVE, sise boulevard de Saint-Georges 38, GENEVE défenderesse EN FAIT 1.        Par jugement du 25 novembre 2013, la 4 ème chambre du Tribunal de première instance a prononcé le divorce de Madame B______ , née le ______ 1963, et Monsieur A______ , né le ______ 1958, mariés en date du 17 septembre 1988. ![endif]&gt;![if&gt; 2.        Selon le chiffre 10 du jugement précité, le Tribunal de première instance a ordonné le partage par moitié des avoirs de prévoyance professionnelle acquis par chacun des époux durant le mariage.![endif]&gt;![if&gt; 3.        Le jugement de divorce est devenu définitif le 14 janvier 2014 et a été transmis d'office à la chambre de céans le 30 janvier 2014 pour exécution du partage.![endif]&gt;![if&gt; 4.        Après avoir déterminé les montants des avoirs de vieillesse des ex-époux accumulés durant le mariage, soit entre le 17 septembre 1988 et le 14 janvier 2014, la chambre de céans leur a communiqué le 5 juin 2014 sur quelle base elle procédera au partage des avoirs.![endif]&gt;![if&gt; 5.        En date du 19 juin et 22 juillet 2014, le demandeur a contesté, par l’intermédiaire de son conseil, les montants retenus pour le partage de sa prestation de sortie, alléguant que le demandeur et la demanderesse avaient, de concert lors de l’audience de comparution personnelle des parties, arrêtés le partage des avoirs de prévoyance professionnelle au 31 octobre 2011. ![endif]&gt;![if&gt; 6.        Par courrier du 12 août 2014, le demandeur a transmis à la chambre de céans copie du jugement de divorce rectifié ainsi que du jugement sur rectification rendus par le Tribunal de première instance le 7 août 2014, selon lesquels il est ordonné de partager des avoirs de vieillesse des ex-époux accumulés durant la période du 17 septembre 1988 au 31 octobre 2011.![endif]&gt;![if&gt; 7.        Selon les courriers de la CPEG des 28 et 29 août 2014, la demanderesse bénéficiait d’une prestation de libre passage au 31 octobre 2011 de CHF 48'100.35 et le demandeur de CHF 219'252.50, somme dont il faut déduire l’avoir de vieillesse du demandeur au moment du mariage, de CHF 11'584.70, intérêts compris.![endif]&gt;![if&gt; 8.        Le 8 octobre 2014, la chambre de céans a communiqué aux ex-époux sur quelle base elle procédera au partage de leurs prestations de sortie, suite à la rectification du jugement de divorce arrêtant les montants des avoirs à partager au 31 octobre 2011.![endif]&gt;![if&gt; 9.        En l'absence d'objections dans le délai fixé, la cause a été gardée à juger. ![endif]&gt;![if&gt;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des ex-époux acquises entre le 17 septembre 1988 et le 31 octobre 2011.![endif]&gt;![if&gt; 5.        Selon les renseignements recueillis, la prestation acquise du 17 septembre 1988 au 31 octobre 2011 par le demandeur est de CHF 207'667.80.- (CHF 219'252.50 – CHF 11'584,70), tandis que celle acquise par la demanderesse est de CHF 48'100.35. Ainsi le demandeur doit à son ex-épouse le montant de CHF 103'833.90 (CHF 207'667.80 : 2) et celle-ci lui doit la somme de CHF 24'050.18 (CHF 48'100.35  : 2), de sorte que c’est le demandeur qui doit à son ex-épouse le montant de CHF 79'783.73.![endif]&gt;![if&gt;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