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A/254/2022 vom 8. Dezember 2022</w:t>
      </w:r>
    </w:p>
    <w:p>
      <w:r>
        <w:t>GE Cour de justice, 2022-12-08, FR</w:t>
      </w:r>
    </w:p>
    <w:p>
      <w:r>
        <w:rPr>
          <w:b/>
        </w:rPr>
        <w:t xml:space="preserve">Quelle: </w:t>
      </w:r>
      <w:r>
        <w:t>https://mcp.opencaselaw.ch/entscheid/ge_gerichte_A_254_2022</w:t>
      </w:r>
    </w:p>
    <w:p>
      <w:r>
        <w:t>FR: GE_GERICHTE A/254/2022 du 8 décembre 2022</w:t>
      </w:r>
    </w:p>
    <w:p>
      <w:r>
        <w:t>IT: GE_GERICHTE A/254/2022 del 8 dicembre 2022</w:t>
      </w:r>
    </w:p>
    <w:p>
      <w:pPr>
        <w:pStyle w:val="Heading2"/>
      </w:pPr>
      <w:r>
        <w:t>Erwägungen</w:t>
      </w:r>
    </w:p>
    <w:p>
      <w:r>
        <w:rPr>
          <w:b/>
        </w:rPr>
        <w:t>E. 3</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dans leur ancienne teneur.</w:t>
      </w:r>
    </w:p>
    <w:p>
      <w:r>
        <w:rPr>
          <w:b/>
        </w:rPr>
        <w:t>E. 4</w:t>
      </w:r>
    </w:p>
    <w:p>
      <w:r>
        <w:t>Le délai de recours est de trente jours (art. 56 LPGA; art. 62 al. 1 de la de loi sur la procédure administrative du 12 septembre 1985 [LPA - E 5 10]). ![endif]&gt;![if&gt; Se pose en premier lieu la question de la recevabilité du recours interjeté par-devant la Cour de céans. L'autorité examine en effet d'office cette question (voir ATAS/495/2016 du 23 juin 2016 consid. 5).</w:t>
      </w:r>
    </w:p>
    <w:p>
      <w:r>
        <w:rPr>
          <w:b/>
        </w:rPr>
        <w:t>E. 5</w:t>
      </w:r>
    </w:p>
    <w:p>
      <w:r>
        <w:t>![endif]&gt;![if&gt;</w:t>
      </w:r>
    </w:p>
    <w:p>
      <w:r>
        <w:rPr>
          <w:b/>
        </w:rPr>
        <w:t>E. 5.1</w:t>
      </w:r>
    </w:p>
    <w:p>
      <w:r>
        <w:t>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LPA).![endif]&gt;![if&gt;</w:t>
      </w:r>
    </w:p>
    <w:p>
      <w:r>
        <w:rPr>
          <w:b/>
        </w:rPr>
        <w:t>E. 5.2</w:t>
      </w:r>
    </w:p>
    <w:p>
      <w:r>
        <w:t>La décision qui n'est remise que contre la signature du destinataire ou d'un tiers habilité est réputée reçue au plus tard sept jours après la première tentative infructueuse de distribution (art. 38 al. 2 bis LPGA et 62 al. 4 LPA). ![endif]&gt;![if&gt;</w:t>
      </w:r>
    </w:p>
    <w:p>
      <w:r>
        <w:rPr>
          <w:b/>
        </w:rPr>
        <w:t>E. 5.3</w:t>
      </w:r>
    </w:p>
    <w:p>
      <w:r>
        <w:t>En vertu de l'art. 16 al. 1 LPA, le délai légal ne peut être prolongé (cf. également art. 40 al. 1 LPGA). Il s'agit là de dispositions impératives auxquelles il ne peut être dérogé (ATF 119 II 87 ; ATF 112 V 256 ).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![endif]&gt;![if&gt;</w:t>
      </w:r>
    </w:p>
    <w:p>
      <w:r>
        <w:rPr>
          <w:b/>
        </w:rPr>
        <w:t>E. 5.4</w:t>
      </w:r>
    </w:p>
    <w:p>
      <w:r>
        <w:t>En l’espèce, il est patent que le recours a été interjeté bien après l’échéance du délai de recours – le 24 janvier 2022, contre une décision notifiée fin octobre 2021 et retournée à l’intimé le 4 novembre 2021. Il a donc été interjeté tardivement. ![endif]&gt;![if&gt; Se pose dès lors la question d’une possible restitution du délai de recours.</w:t>
      </w:r>
    </w:p>
    <w:p>
      <w:r>
        <w:rPr>
          <w:b/>
        </w:rPr>
        <w:t>E. 6</w:t>
      </w:r>
    </w:p>
    <w:p>
      <w:r>
        <w:t>![endif]&gt;![if&gt;</w:t>
      </w:r>
    </w:p>
    <w:p>
      <w:r>
        <w:rPr>
          <w:b/>
        </w:rPr>
        <w:t>E. 6.1</w:t>
      </w:r>
    </w:p>
    <w:p>
      <w:r>
        <w:t>Aux termes de l'art. 41 LPGA (applicable selon les art. 3 let. d bis PA et 55 al. 2 LPGA, en relation avec l'art.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omis.![endif]&gt;![if&gt;</w:t>
      </w:r>
    </w:p>
    <w:p>
      <w:r>
        <w:rPr>
          <w:b/>
        </w:rPr>
        <w:t>E. 6.2</w:t>
      </w:r>
    </w:p>
    <w:p>
      <w:r>
        <w:t>L'art. 41 al. 1 LPGA subordonne la restitution à l'absence de toute faute quelconque. Par « empêchement non fautif » d'accomplir un acte de procédure, il faut comprendre non seulement l'impossibilité objective ou la force majeure – par exemple en raison d'une maladie psychique entraînant une incapacité de discernement (ATF 108 V 226 consid. 4; voir également l'arrêt du Tribunal fédéral des assurances I 468/05 du 12 octobre 2005 consid. 3.1) –, mais également l'impossibilité subjective due à des circonstances personnelles ou une erreur excusable (ATF 96 II 262 consid. 1a; arrêt du Tribunal fédéral des assurances C 204/06 du 16 juillet 2007 consid. 4.1). Ces circonstances doivent toutefois être appréciées objectivement : est non fautive toute circonstance qui aurait empêché un plaideur - respectivement un mandataire - consciencieux d'agir dans le délai fixé (arrêt du Tribunal fédéral 9C_54/2017 du 2 juin 2017 consid. 2.2). ![endif]&gt;![if&gt;</w:t>
      </w:r>
    </w:p>
    <w:p>
      <w:r>
        <w:rPr>
          <w:b/>
        </w:rPr>
        <w:t>E. 6.3</w:t>
      </w:r>
    </w:p>
    <w:p>
      <w:r>
        <w:t>La restitution d'un délai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l'art. 50 al. 1 LTF lorsqu'aucun reproche ne peut être formulé à l'encontre de la partie ou de son mandataire (arrêt 1F_32/2019 du 18 juillet 2019 consid. 2 et la référence).![endif]&gt;![if&gt;</w:t>
      </w:r>
    </w:p>
    <w:p>
      <w:r>
        <w:rPr>
          <w:b/>
        </w:rPr>
        <w:t>E. 6.4</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141 IV 228 consid. 1.1 et les références citées; arrêt du Tribunal fédéral 8C_908/2017 du 17 janvier 2018). À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ATF 139 IV 228 consid. 1.1; ATF 119 V 94 consid. 4b).![endif]&gt;![if&gt;</w:t>
      </w:r>
    </w:p>
    <w:p>
      <w:r>
        <w:rPr>
          <w:b/>
        </w:rPr>
        <w:t>E. 7</w:t>
      </w:r>
    </w:p>
    <w:p>
      <w:r>
        <w:t>![endif]&gt;![if&gt;</w:t>
      </w:r>
    </w:p>
    <w:p>
      <w:r>
        <w:rPr>
          <w:b/>
        </w:rPr>
        <w:t>E. 7.1</w:t>
      </w:r>
    </w:p>
    <w:p>
      <w:r>
        <w:t>L’intimé conclut à l’irrecevabilité du recours. Il rappelle que, selon la jurisprudence,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(ATF119 V 94 consid. 4b et ATF117 V 132 consid. 4a).![endif]&gt;![if&gt;</w:t>
      </w:r>
    </w:p>
    <w:p>
      <w:r>
        <w:rPr>
          <w:b/>
        </w:rPr>
        <w:t>E. 7.2</w:t>
      </w:r>
    </w:p>
    <w:p>
      <w:r>
        <w:t>Le recourant, quant à lui, argue qu’il ne pouvait s’attendre à recevoir une décision de l’intimé, les courriels échangés avec celui-ci ne faisant état que de l’avancée de l’instruction de son dossier. Selon lui, il pouvait en déduire que l’instruction suivait son cours et allait, selon toute vraisemblance, encore durer plusieurs mois, mais en aucun cas que l’office AI était sur le point de rendre une décision. ![endif]&gt;![if&gt;</w:t>
      </w:r>
    </w:p>
    <w:p>
      <w:r>
        <w:rPr>
          <w:b/>
        </w:rPr>
        <w:t>E. 7.3</w:t>
      </w:r>
    </w:p>
    <w:p>
      <w:r>
        <w:t>En l’espèce, c’est à juste titre que l’intimée rappelle que l’assuré, dès lors qu’il avait déposé une demande de prestations dont il était dans l’attente du résultat, se devait de prendre des dispositions pour que la décision qui ne manquerait pas d’être rendue – peu importe que ce soit à brève échéance ou non – lui parvienne. Le recourant avait dès lors l’obligation d’informer l’intimé de sa nouvelle adresse dans les meilleurs délais, ce qu’il n’a pas fait, voire de prendre ses dispositions pour que le courrier qui lui arriverait à son ancienne adresse lui parvienne, ce qu’il a également omis de faire. En omettant de communiquer son changement d’adresse à l’intimé et en ne prenant pas de dispositions utiles pour un réacheminement de son courrier, il n’a pas respecté le devoir de diligence qui lui incombait et ne peut dès lors se prévaloir d’une notification irrégulière, celle-ci étant en lien de causalité direct avec sa négligence. En l’absence de motif valable de restitution de délai, le recours doit être déclaré irrecevable pour cause de tardiveté.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