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A/2547/2023 vom 17. April 2024</w:t>
      </w:r>
    </w:p>
    <w:p>
      <w:r>
        <w:t>GE Cour de justice, 2024-04-17, FR</w:t>
      </w:r>
    </w:p>
    <w:p>
      <w:r>
        <w:rPr>
          <w:b/>
        </w:rPr>
        <w:t xml:space="preserve">Quelle: </w:t>
      </w:r>
      <w:r>
        <w:t>https://mcp.opencaselaw.ch/entscheid/ge_gerichte_A_2547_2023</w:t>
      </w:r>
    </w:p>
    <w:p>
      <w:r>
        <w:t>FR: GE_GERICHTE A/2547/2023 du 17 avril 2024</w:t>
      </w:r>
    </w:p>
    <w:p>
      <w:r>
        <w:t>IT: GE_GERICHTE A/2547/2023 del 17 aprile 2024</w:t>
      </w:r>
    </w:p>
    <w:p>
      <w:pPr>
        <w:pStyle w:val="Heading2"/>
      </w:pPr>
      <w:r>
        <w:t>Regeste</w:t>
      </w:r>
    </w:p>
    <w:p>
      <w:r>
        <w:t>OBJET DU LITIGE;DROIT D'ÊTRE ENTENDU | Cst..29.al2; LCI.67.al1; LCI.68; LCI.14.al1; LCI.59.al3bis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, soit 56,24% de la parcelle, était maintenue avec le projet. Dans ces circonstances, il ne peut être retenu que le taux de surface de pleine terre était insuffisant quantitativement et/ou qualitative-ment. Ce grief sera aussi rejeté. 26.         Mal fondé, le recours sera rejeté. 27.         En application des art. 87 al. 1 LPA et 1 et 2 du règlement sur les frais, émoluments et indemnités en procédure administrative du 30 juillet 1986 (RFPA - E 5 10.03), les recourants, pris conjointement et solidairement, qui succombent, sont condamnés au paiement d’un émolument s’élevant à CHF 1’000.- ; il est partiellement couvert par l’avance de frais en CHF 900.- versée à la suite du dépôt du recours. 28.         Les intimés n'étant pas représentés par un avocat, aucune indemnité de procédure ne leur sera allouée (art. 87 al. 2 LPA).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