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A/253/2016 vom 26. Oktober 2016</w:t>
      </w:r>
    </w:p>
    <w:p>
      <w:r>
        <w:t>GE Cour de justice, 2016-10-26, FR</w:t>
      </w:r>
    </w:p>
    <w:p>
      <w:r>
        <w:rPr>
          <w:b/>
        </w:rPr>
        <w:t xml:space="preserve">Quelle: </w:t>
      </w:r>
      <w:r>
        <w:t>https://mcp.opencaselaw.ch/entscheid/ge_gerichte_A_253_2016</w:t>
      </w:r>
    </w:p>
    <w:p>
      <w:r>
        <w:t>FR: GE_GERICHTE A/253/2016 du 26 octobre 2016</w:t>
      </w:r>
    </w:p>
    <w:p>
      <w:r>
        <w:t>IT: GE_GERICHTE A/253/2016 del 26 ottobre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26.10.2016 A/253/2016</w:t>
      </w:r>
    </w:p>
    <w:p>
      <w:r>
        <w:t>A/253/2016 ATAS/865/2016 du 26.10.2016 ( CHOMAG ) , RETIRE rÉpublique et canton de genÈve POUVOIR JUDICIAIRE A/253/2016 ATAS/865/2016 COUR DE JUSTICE Chambre des assurances sociales Arrêt du 26 octobre 2016 4 ème Chambre En la cause Madame A______, domiciliée au GRAND-SACONNEX recourante contre UNIA CAISSE DE CHÔMAGE, Centre de compétences F-CH, sise rue Necker 17, GENÈVE intimée Vu la décision sur opposition du 10 décembre 2015 de UNIA caisse de chômage (ci-après la caisse ou l’intimée), demandant la restitution d’un montant CHF 7'574.95 indûment versé à Madame A______ (ci-après l’assurée ou la recourante) ; Vu le recours interjeté le 25 janvier 2016 par l’assurée ; Vu les écritures des parties et les pièces produites ; Vu la réponse de l’intimée du 11 février 2016 ; Vu l'audience de comparution personnelle des parties du 26 octobre 2016 ; Attendu que lors de cette dernière audience, la chambre de céans a informé la recourante qu’elle envisageait de rendre une décision à son détriment et qu’elle avait la possibilité de retirer son recours ; Qu’au vu des explications reçues, la recourante a indiqué qu’elle retirait son recours ; Qu'il convient d'en prendre acte et de rayer la cause du rôle. PAR CES MOTIFS, LA CHAMBRE DES ASSURANCES SOCIALES : 1.        Prend acte du retrait du recours.![endif]&gt;![if&gt; 2.        Raye la cause du rôle.![endif]&gt;![if&gt; La greffière Isabelle CASTILLO La présidente Juliana BALDÉ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