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A/253/2004 vom 4. Dezember 2003</w:t>
      </w:r>
    </w:p>
    <w:p>
      <w:r>
        <w:t>GE Cour de justice, 2003-12-04, FR</w:t>
      </w:r>
    </w:p>
    <w:p>
      <w:r>
        <w:rPr>
          <w:b/>
        </w:rPr>
        <w:t xml:space="preserve">Quelle: </w:t>
      </w:r>
      <w:r>
        <w:t>https://mcp.opencaselaw.ch/entscheid/ge_gerichte_A_253_2004</w:t>
      </w:r>
    </w:p>
    <w:p>
      <w:r>
        <w:t>FR: GE_GERICHTE A/253/2004 du 4 décembre 2003</w:t>
      </w:r>
    </w:p>
    <w:p>
      <w:r>
        <w:t>IT: GE_GERICHTE A/253/2004 del 4 dicembre 2003</w:t>
      </w:r>
    </w:p>
    <w:p>
      <w:pPr>
        <w:pStyle w:val="Heading2"/>
      </w:pPr>
      <w:r>
        <w:t>Erwägungen</w:t>
      </w:r>
    </w:p>
    <w:p>
      <w:r>
        <w:rPr>
          <w:b/>
        </w:rPr>
        <w:t>E. 1</w:t>
      </w:r>
    </w:p>
    <w:p>
      <w:r>
        <w:t>La loi genevoise sur l’organisation judiciaire (LOJ) a été modifiée et a institué, dès le 1 er août 2003, un Tribunal cantonal des assurances,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LPGA. Le Tribunal de céans statue, en instance unique, sur les contestations relatives à la prévoyance professionnelle opposant institutions de prévoyance, employeurs et ayants droits, y compris en cas de divorce (art. 56V alinéa 1 lettre b) LOJ) et siège dans la composition prévue par l’article 162 LOJ, dès le 13 février 2004. Sa compétence pour juger du cas d’espèce est ainsi établie.</w:t>
      </w:r>
    </w:p>
    <w:p>
      <w:r>
        <w:rPr>
          <w:b/>
        </w:rPr>
        <w:t>E. 2</w:t>
      </w:r>
    </w:p>
    <w:p>
      <w:r>
        <w:t>L'art. 25a de la loi fédérale sur le libre passage dans la prévoyance professionnelle, vieillesse, survivants et invalidité du 17 décembre 1993 (loi sur le libre passage LFLP), entré en vigueur le 1er janvier 2000, règle la procédure en cas de divorce. En cas de désaccord des conjoints sur la prestation de sortie à partager en cas de divorce (art. 122 et 123 du code civil), le juge du lieu du divorce compétent au sens de l'art. 73 al. 1 de la loi fédérale sur la prévoyance professionnelle, vieillesse, survivants et invalidité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constitués par les ex-époux durant le mariage, soit du 7 mars 1997 au 29 janvier 2004, date à laquelle le jugement de divorce est devenu exécutoire. Selon les documents produits, la prestation acquise pendant le mariage par le demandeur auprès de la Prévoyance professionnelle de l’industrie automobile est de 29'967 fr. 50, intérêts compris, dont à déduire la prestation de sortie à la date du mariage, augmentée de l’intérêt légal jusqu’au 29 janvier 2004, soit 7'554 fr. 95. Le droit du conjoint divorcé s’élève ainsi à 11'206 fr. 30 (29'967 fr.50 - 7'554 fr.95 : 2). . La prestation acquise par la demanderesse auprès de Prévoyance vieillesse d’entreprises GASTROSUISSE, est de 3'554 fr. intérêts compris. La demanderesse ne disposait pas d’une prestation de sortie au moment du mariage. Le droit du conjoint divorcé s’élève en conséquence à 1'777 fr. Il s’ensuit que le demandeur doit à son épouse la somme de 9'429 fr. 30 (11'206 fr. 30 – 1'777 fr.).</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