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A/2539/2022 vom 6. September 2023</w:t>
      </w:r>
    </w:p>
    <w:p>
      <w:r>
        <w:t>GE Cour de justice, 2023-09-06, FR</w:t>
      </w:r>
    </w:p>
    <w:p>
      <w:r>
        <w:rPr>
          <w:b/>
        </w:rPr>
        <w:t xml:space="preserve">Quelle: </w:t>
      </w:r>
      <w:r>
        <w:t>https://mcp.opencaselaw.ch/entscheid/ge_gerichte_A_2539_2022</w:t>
      </w:r>
    </w:p>
    <w:p>
      <w:r>
        <w:t>FR: GE_GERICHTE A/2539/2022 du 6 septembre 2023</w:t>
      </w:r>
    </w:p>
    <w:p>
      <w:r>
        <w:t>IT: GE_GERICHTE A/2539/2022 del 6 settembre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Le délai de recours est de trente jours (art. 56 LPGA; art. 62 al. 1 de la de loi sur la procédure administrative du 12 septembre 1985 [LPA - E 5 10]). ![endif]&gt;![if&gt; Interjeté dans la forme et le délai prévus par la loi, le recours est recevable</w:t>
      </w:r>
    </w:p>
    <w:p>
      <w:r>
        <w:rPr>
          <w:b/>
        </w:rPr>
        <w:t>E. 3</w:t>
      </w:r>
    </w:p>
    <w:p>
      <w:r>
        <w:t>Le litige porte sur le droit du recourant à une rente d’invalidité.![endif]&gt;![if&gt;</w:t>
      </w:r>
    </w:p>
    <w:p>
      <w:r>
        <w:rPr>
          <w:b/>
        </w:rPr>
        <w:t>E. 4</w:t>
      </w:r>
    </w:p>
    <w:p>
      <w:r>
        <w:t>Le 1 er janvier 2022, sont entrées en vigueur les modifications de la LAI du 19 juin 2020 (développement continu de l’AI ; RO 2021 705) ainsi que celles du 3novembre 2021 du règlement sur l’assurance-invalidité du 17 janvier 1961 (RAI - RS 831.201; RO 2021 706).![endif]&gt;![if&gt;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premier octroi de rente dont le droit pourrait être né, s’il était admis, avant le 1 er janvier 2022, de sorte que les dispositions légales applicables seront citées dans leur ancienne teneur.</w:t>
      </w:r>
    </w:p>
    <w:p>
      <w:r>
        <w:rPr>
          <w:b/>
        </w:rPr>
        <w:t>E. 5</w:t>
      </w:r>
    </w:p>
    <w:p>
      <w:r>
        <w:t>![endif]&gt;![if&gt;</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w:t>
      </w:r>
    </w:p>
    <w:p>
      <w:r>
        <w:rPr>
          <w:b/>
        </w:rPr>
        <w:t>E. 5.2</w:t>
      </w:r>
    </w:p>
    <w:p>
      <w:r>
        <w:t>En vertu de l’art. 28 al. 2 aLAI, l’assuré a droit à une rente entière s’il est invalide à 70% au moins, à un trois quarts de rente s'il est invalide à 60% au moins, à une demi-rente s’il est invalide à 50% au moins, ou à un quart de rente s’il est invalide à 40% au moins.![endif]&gt;![if&gt;</w:t>
      </w:r>
    </w:p>
    <w:p>
      <w:r>
        <w:rPr>
          <w:b/>
        </w:rPr>
        <w:t>E. 5.3</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naissance.![endif]&gt;![if&gt;</w:t>
      </w:r>
    </w:p>
    <w:p>
      <w:r>
        <w:rPr>
          <w:b/>
        </w:rPr>
        <w:t>E. 5.4</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w:t>
      </w:r>
    </w:p>
    <w:p>
      <w:r>
        <w:rPr>
          <w:b/>
        </w:rPr>
        <w:t>E. 5.5</w:t>
      </w:r>
    </w:p>
    <w:p>
      <w:r>
        <w:t>![endif]&gt;![if&gt;</w:t>
      </w:r>
    </w:p>
    <w:p>
      <w:r>
        <w:rPr>
          <w:b/>
        </w:rPr>
        <w:t>E. 5.5.1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w:t>
      </w:r>
    </w:p>
    <w:p>
      <w:r>
        <w:rPr>
          <w:b/>
        </w:rPr>
        <w:t>E. 5.5.2</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![endif]&gt;![if&gt;</w:t>
      </w:r>
    </w:p>
    <w:p>
      <w:r>
        <w:rPr>
          <w:b/>
        </w:rPr>
        <w:t>E. 5.5.3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![endif]&gt;![if&gt;</w:t>
      </w:r>
    </w:p>
    <w:p>
      <w:r>
        <w:rPr>
          <w:b/>
        </w:rPr>
        <w:t>E. 5.5.4</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5.2).![endif]&gt;![if&gt; Il convient pour ce faire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rPr>
          <w:b/>
        </w:rPr>
        <w:t>E. 5.5.5</w:t>
      </w:r>
    </w:p>
    <w:p>
      <w:r>
        <w:t>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la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9C_826/2017 du 28 mai 2018 consid. 5.2 ; 9C_106/2011 du 14 octobre 2011 consid. 4.3, I 83/97 du 16 octobre 1997 consid. 2c, in VSI 1998 p. 121, et I 432/97 du 30 mars 1998 consid. 4a, in VSI 1998 p. 255). Il convient de distinguer clairement la situation personnelle de la personne assurée, seule déterminante au regard de l’assurance-invalidité, de celle de l’entreprise dont elle est la propriétaire économique (arrêt du Tribunal fédéral 9C_572/2010 du 25 mars 2011, consid. 3.5 in fine).![endif]&gt;![if&gt;</w:t>
      </w:r>
    </w:p>
    <w:p>
      <w:r>
        <w:rPr>
          <w:b/>
        </w:rPr>
        <w:t>E. 5.5.6</w:t>
      </w:r>
    </w:p>
    <w:p>
      <w:r>
        <w:t>Pour autant que la taille et l’organisation de son entreprise le permettent, on peut exiger d’un assuré de condition indépendante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![endif]&gt;![if&gt;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(arrêts du Tribunal fédéral 9C_810/2017 du 9 avril 2018 consid. 2.2 ; 9C_394/2009 du 8 janvier 2010 consid. 5.2 ss). De jurisprudence constante, ce n’est qu’à des conditions strictes que l’on peut considérer qu’un changement d’activité professionnelle, singulièrement la cessation d’une activité agricole, ne constitue pas une mesure raisonnablement exigible de l’assuré ; en particulier, l’activité exercée jusqu’alors ne doit pas être poursuivie aux coûts de l’assurance-invalidité, même si l’intéressé effectue un travail d’une certaine importance économique (arrêts du Tribunal fédéral 9C_644/2015 du 3 mai 2016 consid. 4.3.1 ; 8C_413/2015 du 3 novembre 2015 consid. 3.3.1 ; 9C_357/2014 du 7 avril 2015, consid. 2.3.1 ; 9C_624/2013 du 11 décembre 2013 consid. 3.1.1 ; 9C_834/2011 du 2 avril 2012 consid. 4 et les références).</w:t>
      </w:r>
    </w:p>
    <w:p>
      <w:r>
        <w:rPr>
          <w:b/>
        </w:rPr>
        <w:t>E. 6</w:t>
      </w:r>
    </w:p>
    <w:p>
      <w:r>
        <w:t>![endif]&gt;![if&gt;</w:t>
      </w:r>
    </w:p>
    <w:p>
      <w:r>
        <w:rPr>
          <w:b/>
        </w:rPr>
        <w:t>E. 6.1</w:t>
      </w:r>
    </w:p>
    <w:p>
      <w:r>
        <w:t>Le recourant a fait valoir que l’intimé aurait dû tenir compte pour établir le taux d’invalidité du fait qu’en 2019, 2020 et 2021, il avait touché des indemnités pour maladie. ![endif]&gt;![if&gt; L’intimé a expliqué ne pas avoir fixé le revenu sans invalidité sur la base des gains réalisés entre 2019 et 2021, mais sur le revenu réalisé immédiatement avant l’atteinte à la santé, soit celui réalisé en 2018.</w:t>
      </w:r>
    </w:p>
    <w:p>
      <w:r>
        <w:rPr>
          <w:b/>
        </w:rPr>
        <w:t>E. 6.2</w:t>
      </w:r>
    </w:p>
    <w:p>
      <w:r>
        <w:t>L’incapacité de travail déterminante du recourant a débuté en août 2019, lorsqu’il a commencé souffrir d’une sciatique. C’est ainsi à juste titre que l’intimé a pris en compte pour établir le taux d’invalidité du recourant son revenu avant invalidité, soit celui de 2018. ![endif]&gt;![if&gt; Dans la mesure où il est tenu compte pour fixer le revenu avec invalidité d’une capacité théorique d’exercer une activité adaptée aux limitations fonctionnelles, l’intimé n’avait pas à prendre en compte les revenus effectivement réalisés par le recourant après la survenue de son atteinte à la santé, en 2019, 2020 et 2021, et c’est à juste titre qu’il s’est référé aux données statistiques de l’Enquête suisse sur la structure des salaires (ESS) pour une activité simple et répétitive. Le taux d’invalidité a été correctement fixé par l’intimé.</w:t>
      </w:r>
    </w:p>
    <w:p>
      <w:r>
        <w:rPr>
          <w:b/>
        </w:rPr>
        <w:t>E. 7</w:t>
      </w:r>
    </w:p>
    <w:p>
      <w:r>
        <w:t>![endif]&gt;![if&gt;</w:t>
      </w:r>
    </w:p>
    <w:p>
      <w:r>
        <w:rPr>
          <w:b/>
        </w:rPr>
        <w:t>E. 7.1</w:t>
      </w:r>
    </w:p>
    <w:p>
      <w:r>
        <w:t>Dans un second grief, le recourant a contesté pouvoir travailler à 100% dans une activité adaptée à ses limitations fonctionnelles, ce d’autant plus qu’il avait 59 ans, et sans qu’on lui propose une reconversion avec une formation dans un autre métier. Il ne pouvait pas rester assis toute une journée en raison de ses problèmes de santé. ![endif]&gt;![if&gt; L’intimé a répondu qu’il ressortait des pièces médicales au dossier que le recourant ne pouvait plus exercer son activité habituelle de menuisier indépendant depuis le 9 août 2019, mais qu’il présentait une capacité de travail de 100% dans une activité adaptée à ses limitations fonctionnelles dès le 1 er juin 2020. Le recourant pouvait exercer différentes activités adaptées qui ne nécessitaient pas de formation complémentaire.</w:t>
      </w:r>
    </w:p>
    <w:p>
      <w:r>
        <w:rPr>
          <w:b/>
        </w:rPr>
        <w:t>E. 7.2</w:t>
      </w:r>
    </w:p>
    <w:p>
      <w:r>
        <w:t>En l’espèce, l’intimé a retenu une capacité de travail entière du recourant dans une activité adaptée dès le 1 er juin 2020, en se fondant sur le rapport établi le 17 juillet 2020 par le Dr D______ et l’avis du SMR du 14 septembre 2021. Cette conclusion n’est pas remise en cause par le rapport du médecin traitant du recourant, le Dr C______, du 28 mai 2020, dès lors que ce médecin indiquait que les douleurs étaient supportables. Le recourant n’a pas produit d’autres rapports qui pourraient faire douter du fait qu’il ne pouvait pas effectuer une activité simple et répétitive adaptée à ses limitations. ![endif]&gt;![if&gt; Le recourant était âgé de 56 ans le 1 er juin 2020, date à partir de laquelle il a été retenu qu’il pouvait être exigé de lui une activité adaptée à ses limitations fonctionnelles à 100%. Le recourant n'avait ainsi pas encore atteint l'âge à partir duquel le Tribunal fédéral admet qu'il peut être plus difficile de se réinsérer sur le marché du travail (voir ATF 143 V 431 consid. 4.5.2). Son absence de formation en dehors de la menuiserie ne permet pas de retenir qu’il ne pourrait pas trouver de travail, étant relevé qu’il a démontré des ressources et des compétences certaines en gérant seul une entreprise depuis 2004. Les limitations fonctionnelles retenues n’apparaissent pas telles qu’elles l’empêcheraient d’exercer une activité adaptée légère dans laquelle il pourrait changer de positions. En conséquence, c’est à juste titre que l’intimé a retenu qu’une activité adaptée était exigible à 100%. Au vu de l’organisation de son entreprise et de son but, le recourant ne peut adapter ses activités au sein de celle-ci afin qu’elles soient compatibles à son état de santé. Conformément à la jurisprudence, l’intimé pouvait, dans ces circonstances, retenir qu’il devait mettre fin à son activité indépendante au profit d’une activité salariée plus lucrative.</w:t>
      </w:r>
    </w:p>
    <w:p>
      <w:r>
        <w:rPr>
          <w:b/>
        </w:rPr>
        <w:t>E. 7.3</w:t>
      </w:r>
    </w:p>
    <w:p>
      <w:r>
        <w:t>Le degré d’invalidité du recourant n’atteint pas le seuil de 20% donnant droit à une mesure de reclassement au sens de l’art. 17 LAI. ![endif]&gt;![if&gt; Compte tenu des limitations fonctionnelles du recourant, il faut admettre qu'il existe un nombre suffisant large d’activités légères sur le marché du travail qu’il pourrait assumer. Le droit à l'orientation professionnelle selon l'art. 15 LAI n'entre donc pas non plus en considération.</w:t>
      </w:r>
    </w:p>
    <w:p>
      <w:r>
        <w:rPr>
          <w:b/>
        </w:rPr>
        <w:t>E. 8</w:t>
      </w:r>
    </w:p>
    <w:p>
      <w:r>
        <w:t>Au vu de ce qui précède, le recours sera rejeté et le recourant sera condamné au paiement d'un émolument de CHF 200.- (art. 69 al.1bis LAI).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