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A/2532/2012 vom 29. Januar 2013</w:t>
      </w:r>
    </w:p>
    <w:p>
      <w:r>
        <w:t>GE Cour de justice, 2013-01-29, FR</w:t>
      </w:r>
    </w:p>
    <w:p>
      <w:r>
        <w:rPr>
          <w:b/>
        </w:rPr>
        <w:t xml:space="preserve">Quelle: </w:t>
      </w:r>
      <w:r>
        <w:t>https://mcp.opencaselaw.ch/entscheid/ge_gerichte_A_2532_2012</w:t>
      </w:r>
    </w:p>
    <w:p>
      <w:r>
        <w:t>FR: GE_GERICHTE A/2532/2012 du 29 janvier 2013</w:t>
      </w:r>
    </w:p>
    <w:p>
      <w:r>
        <w:t>IT: GE_GERICHTE A/2532/2012 del 29 gennaio 2013</w:t>
      </w:r>
    </w:p>
    <w:p>
      <w:pPr>
        <w:pStyle w:val="Heading2"/>
      </w:pPr>
      <w:r>
        <w:t>Erwägungen</w:t>
      </w:r>
    </w:p>
    <w:p>
      <w:r>
        <w:rPr>
          <w:b/>
        </w:rPr>
        <w:t>E. 2</w:t>
      </w:r>
    </w:p>
    <w:p>
      <w:r>
        <w:t>Un délai supplémentaire de 15 jours est alloué à X______ pour compléter ses écritures.</w:t>
      </w:r>
    </w:p>
    <w:p>
      <w:r>
        <w:rPr>
          <w:b/>
        </w:rPr>
        <w:t>E. 3</w:t>
      </w:r>
    </w:p>
    <w:p>
      <w:r>
        <w:t>Sous suite de frais et dépens ». Ces écritures ont été adressées aux HUG et les parties avisées par courrier du 24 octobre 2012 que la cause était désormais gardée à juger. Dans le courrier recommandé que le juge délégué a adressé le 24 octobre 2012 à Me Canela, il a sollicité la transmission de la procuration que l’avocat avait annoncée lorsqu’il s’était constitué. Le 25 octobre 2012, les HUG ont conclu à l’irrecevabilité de l’écriture du 22 octobre 2012. Les écritures spontanées du recourant devaient être écartées car tardives et, quoiqu’il en soit, les conclusions nouvelles formulées dans celles-ci devaient être déclarées irrecevables. Le 5 novembre 2012, le conseil de M. X______ a transmis un exemplaire de la procuration signée par son client ainsi qu’un nouveau mémoire daté du même jour. Le 7 novembre 2012, le juge délégué a retourné à M. X______ le mémoire du 5 novembre 2012 et avisé les parties que la cause était gardée à juger. EN DROIT Interjeté en temps utile, compte tenu de la suspension des délais de recours du 15 juillet au 15 août inclus, et devant la juridiction compétente, le recours est recevable (art. 31 al. 1 de la loi générale relative au personnel de l’administration cantonale, du pouvoir judiciaire et des établissements publics médicaux du 4 décembre 1997 - LPAC - B 5 05 ; art. 132 de la loi sur l’organisation judiciaire du 26 septembre 2010 - LOJ - E 2 05 ; art. 17A al. 1 let. c et 62 al. 1 let. a de la loi sur la procédure administrative du 12 septembre 1985 - LPA - E 5 10). A la suite du courrier du juge délégué du 11 octobre 2012 impartissant aux parties un délai au 22 octobre 2012 pour requérir d’autres actes d’instruction, le recourant a adressé à la chambre administrative un mémoire contenant des observations supplémentaires comportant des conclusions s’ajoutant à celles formulées dans l’acte de recours. Ces écritures spontanées seront admises en tant qu’elles s’inscrivent dans le cadre de l’exercice du droit à la réplique reconnu aux parties par la jurisprudence (ATF 137 I 195 et la jurisprudence citée). En revanche, selon une jurisprudence constante, les conclusions nouvelles, en l’occurrence celles rajoutées de manière manuscrite par le mandataire du recourant à la fin de son mémoire du 22 octobre 2012, sont irrecevables car prises hors du délai de recours ( ATA/652/2012 du 25 septembre 2012 ; ATA/490/2012 du 31 juillet 2012 ; ATA/133/2012 du 13 mars 2012). Le recours porte sur la résiliation des rapports de service liant les HUG au recourant, qui serait contraire au droit. Les échanges d’écritures entre les parties et les pièces produites ont permis une instruction complète de la cause au regard des questions juridiques à résoudre, sans qu’il soit nécessaire d’ordonner d’autres mesures d’instruction, notamment de procéder à des enquêtes. Employé aux HUG, le recourant est soumis à la LPAC et au statut des HUG (art. 1 al. 1 let. e et 33 LPAC ; art. 7 al. 2 let. k de la loi sur les établissements publics médicaux du 19 septembre 1980 - LEPM - K 2 05). a. Les membres du personnel de chaque établissement public médical relèvent de l’autorité du conseil d’administration (art. 2 al. 4 LPAC). b. Est un employé le membre du personnel régulier qui accomplit une période probatoire (art. 6 al. 1 LPAC). Le conseil d’administration arrête la durée et les modalités de la période probatoire (art. 6 al. 2 LPAC). La durée d’engagement en qualité d’auxiliaire est prise en compte comme période probatoire en cas d’accès au statut d’employé (art. 7 al. 3 LPAC). c. Selon l’art. 21 du statut, les membres du personnel se doivent, par leur attitude : a) d’entretenir des relations dignes et correctes avec leurs supérieurs, leurs collègues et leurs subordonnés, de permettre et de faciliter la collaboration entre ces personnes ; b) d’établir une communication respectueuse avec le public, privilégiant l’écoute et la compréhension ; c) de justifier et de renforcer la considération et la confiance dont la fonction publique doit être l’objet ; d) d’adopter un comportement adapté à la situation des personnes malades, en particulier en faisant preuve de tact, de patience, de compréhension et en leur apportant les services dont ils ont besoin. A teneur de l’art. 22 du statut, ils se doivent de remplir tous les devoirs de leur fonction consciencieusement et avec diligence (al. 1) ; ils se doivent de respecter leur horaire de travail (al. 2) ; ils se doivent de se tenir au courant des modifications et des perfectionnements nécessaires à l’exécution de leur travail (al. 5). En outre, selon l’art. 24 al. 1 du statut, un membre du personnel empêché de se présenter à son lieu de travail à l’heure prescrite doit en informer le plus tôt possible son supérieur hiérarchique et justifier son absence. Aux termes de l’art. 46 du statut, un entretien de service entre le membre du personnel et son supérieur hiérarchique a pour objet les manquements aux devoirs du personnel (al. 1). Le membre du personnel peut se faire accompagner d’une personne de son choix. Un responsable des ressources humaines est présent (al. 2).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 Un compte-rendu d’entretien est établi dans les sept jours. Les divergences éventuelles peuvent y figurer ou faire l’objet d’une note rédigée par le membre du personnel dans un délai de quatorze jours, dès réception du compte-rendu de l’entretien de service (al. 5).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trente jours pour faire ses observations (al. 7). a.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b. Selon l’art. 62 du statut, la direction est compétente pour procéder à la résiliation des rapports de service d’un employé. a. Lorsque les rapports de service ont duré plus d’une année, le délai de résiliation est de trois mois pour la fin d’un mois (art. 20 al. 3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b. Le personnel des HUG est protégé contre les risques d’une résiliation en temps inopportun des rapports de service, les art. 336c et 336d CO étant applicables par analogie (art. 46A du statut).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 La loi ne mentionne pas de conditions particulières pour le licenciement d’employés. En particulier, contrairement aux fonctionnaires, elle ne prévoit pas l’existence d’un motif fondé (art. 22 LPAC a contrario ; ATA/446/2012 du 30 juillet 2012 ; ATA/217/2012 du 17 avril 2012 ; ATA/739/2010 du 2 novembre 2010 ; ATA/611/2008 du 9 décembre 2008 ; ATA/447/2007 du 4 septembre 2007). 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ATA/534/2012 du 21 août 2012 ; ATA/446/2012 précité). c.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 ATA/446/2012 précité ; ATA/344/2008 du 24 juin 2008). La décision de licenciement du 8 juin 2012 a été précédée d’un entretien de service lors duquel les griefs qui étaient adressés au recourant ont été précisés, dans le détail ainsi qu’il ressort du compte-rendu qui lui a été communiqué. M. X______ a pu sur-le-champ prendre position au sujet de certains de ces griefs et la possibilité lui a été donnée de se déterminer dans le mois qui suivait au sujet de l’ensemble de ceux-ci, faculté qu’il a utilisée. Les HUG ont donc respecté, avant de signifier leur décision de se séparer de leur employé, le droit d’être entendu qui lui était reconnu par l’art. 21 al. 1 LPAC. Le recourant est tombé malade le 15 février 2012, à teneur du certificat qu’il a transmis aux HUG, et il l’est resté jusqu’au 30 juin 2012 au moins. Se trouvant dans sa deuxième année de service, il bénéficiait d’un délai de protection lié à sa maladie d’une durée de deux mois, selon l’art. 336c al. 2 CO. Notifiée le 8 juin 2012, la décision de licenciement respecte ce délai de protection. En outre, la fin des rapports de travail ayant été fixée au 30 septembre 2012, le licenciement a été donné pour l’échéance légale. La décision de licenciement attaquée respecte les conditions de forme posées par la loi. Reste à déterminer si cette décision échappe au grief d’arbitraire. En l’espèce, tel n’est pas le cas. La décision querellée se fonde sur plusieurs griefs liés à la qualité des prestations du recourant. Certains de ceux-ci concernent ses compétences, d’autres sa rigueur au travail ou la précision dont il fait montre dans l’exécution de ses tâches, les derniers - et non les moindres - touchent aux mauvais rapports qu’il entretenait avec ses collègues ou avec ses supérieurs. Certaines situations mises en évidence concernaient des chantiers dans lesquels des problèmes techniques non maîtrisés ont surgi ou au cours desquels la qualité du suivi effectué par l’intéressé a été mise en doute. Sur ce point, le recourant ne nie pas l’existence de ces problèmes, mais, d’une manière très systématique, en explique les causes ou en rejette la responsabilité sur ses collègues ou ses supérieurs, voire sur des tiers, qu’il n’hésite pas à dénigrer d’une manière inadmissible et irrespectueuse. Force est de constater au vu des pièces du dossier que la décision de licencier est consécutive à des tensions avérées au sein du service, qui ont perduré pendant plusieurs mois, à la suite desquelles l’employeur pouvait légitimement concevoir de l’insatisfaction au sujet des prestations du recourant et décider de mettre fin aux rapports de service. La décision de licencier le recourant ne peut être taxée d’arbitraire. Elle est proportionnée, eu égard à l’intensité des reproches qu’il lui adressait. Le recours sera rejeté. Vu l’issue du litige, un émolument de CHF 1’000.- sera mis à la charge du recourant. Aucune indemnité de procédure ne sera allouée aux HUG qui possèdent leur propre service juridique ( ATA/777/2012 du 13 novembre 2012 ; ATA/79/2011 du 8 février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