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A/2530/2023 vom 10. Oktober 2023</w:t>
      </w:r>
    </w:p>
    <w:p>
      <w:r>
        <w:t>GE Cour de justice, 2023-10-10, FR</w:t>
      </w:r>
    </w:p>
    <w:p>
      <w:r>
        <w:rPr>
          <w:b/>
        </w:rPr>
        <w:t xml:space="preserve">Quelle: </w:t>
      </w:r>
      <w:r>
        <w:t>https://mcp.opencaselaw.ch/entscheid/ge_gerichte_A_2530_2023</w:t>
      </w:r>
    </w:p>
    <w:p>
      <w:r>
        <w:t>FR: GE_GERICHTE A/2530/2023 du 10 octobre 2023</w:t>
      </w:r>
    </w:p>
    <w:p>
      <w:r>
        <w:t>IT: GE_GERICHTE A/2530/2023 del 10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recours porte sur le refus de l’autorité intimée d’entrer en matière sur ce qu’elle considère être une demande de reconsidération de sa décision du 30 mai 2023 par laquelle elle a renvoyé au recourant sa demande de renouvellement d’AUADP pour cause de dépôt tardif.![endif]&gt;![if&gt; Le recourant considère que ce courrier du 30 mai 2022 est une décision, mais qu’elle serait irrégulière, partant ne serait pas entrée en force, de sorte que sa demande du 27 juin 2023 ne pouvait pas être considérée par l’autorité intimée comme une demande de reconsidération. Ainsi, les deux parties sont d’accord pour considérer que ce courrier du 30 mai 2022 est une décision.</w:t>
      </w:r>
    </w:p>
    <w:p>
      <w:r>
        <w:rPr>
          <w:b/>
        </w:rPr>
        <w:t>E. 2.1</w:t>
      </w:r>
    </w:p>
    <w:p>
      <w:r>
        <w:t>Selon l’art. 46 LPA, les décisions doivent être désignées comme telles, motivées et signées, et indiquer les voies et délais de recours (al. 1). Les décisions sont notifiées aux parties, le cas échéant à leur domicile élu auprès de leur mandataire, par écrit (al. 2). Une notification irrégulière ne peut entraîner aucun préjudice pour les parties (art. 47 LPA).![endif]&gt;![if&gt; D’après la jurisprudence, ce n'est pas la forme de l'acte qui est déterminante, mais son contenu et ses effets ( ATA/775/2021 du 27 juillet 2021 consid. 3a).</w:t>
      </w:r>
    </w:p>
    <w:p>
      <w:r>
        <w:rPr>
          <w:b/>
        </w:rPr>
        <w:t>E. 2.2</w:t>
      </w:r>
    </w:p>
    <w:p>
      <w:r>
        <w:t>D’après un principe général du droit, déduit de l’art. 9 de la Constitution fédérale de la Confédération suisse du 18 avril 1999 (Cst. - RS 101)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w:t>
      </w:r>
    </w:p>
    <w:p>
      <w:r>
        <w:rPr>
          <w:b/>
        </w:rPr>
        <w:t>E. 2.3</w:t>
      </w:r>
    </w:p>
    <w:p>
      <w:r>
        <w:t>Sont susceptibles d’un recours auprès de la chambre administrative notamment les décisions finales (art. 57 al. 1 let. a LPA).</w:t>
      </w:r>
    </w:p>
    <w:p>
      <w:r>
        <w:rPr>
          <w:b/>
        </w:rPr>
        <w:t>E. 2.4</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ATA/651/2023 du 20 juin 2023 consid. 4.1 ; ATA/539/2020 du 29 mai 2020 consid. 5b). Une telle obligation existe également lorsque la situation du destinataire de la décision s'est notablement modifiée depuis la première décision (art. 48 al. 1 let. b LPA).</w:t>
      </w:r>
    </w:p>
    <w:p>
      <w:r>
        <w:rPr>
          <w:b/>
        </w:rPr>
        <w:t>E. 2.5</w:t>
      </w:r>
    </w:p>
    <w:p>
      <w:r>
        <w:t>En l’espèce, le recourant, dûment assisté d’un avocat, a fait le choix le 27 juin 2023 de s’adresser à l’autorité intimée pour faire valoir ses moyens plutôt que de saisir la chambre de céans d’un recours. Il a invité cette dernière à « rapporter » sans délai sa « décision du 30 mai 2023 » et à traiter le renouvellement de l’AUADP auquel son mandant avait droit. C’est dire que le recourant avait conscience qu’il s’agissait d’une décision. Il n’a subi aucun préjudice du fait de l’absence des voies de droit sur ladite décision puisque, par son conseil, dans les 30 jours suivant sa notification, il s’est adressé à l’auteur de cette décision et a fait valoir les motifs qui l’auraient empêché de déposer à temps la demande de renouvellement de son AUADP. En revanche, dans la mesure où la décision du 30 mai 2023 n’était pas encore en force, puisque le délai de recours courait, il aurait appartenu au PCTN de décliner sa compétence et de transmettre d’office l’affaire à l’autorité compétente, à savoir la chambre de céans (art. 11 al. 3 LPA). C’est donc à tort que l’autorité a considéré que ce courrier du 27 juin 2023 était une demande de reconsidération. Dans la mesure où la chambre administrative aurait d’emblée dû être saisie du courrier du 27 juin 2023 et le traiter comme un recours, elle va examiner ci-dessous tous les griefs du recourant.</w:t>
      </w:r>
    </w:p>
    <w:p>
      <w:r>
        <w:rPr>
          <w:b/>
        </w:rPr>
        <w:t>E. 3</w:t>
      </w:r>
    </w:p>
    <w:p>
      <w:r>
        <w:t>Celui-ci se plaint d’une violation de son droit d’être entendu, l’autorité ne lui ayant pas fait part de son intention de lui retourner sa demande de renouvellement d’AUADP et partant l’ayant privé de se déterminer en amont de la décision du 30 mai 2023. ![endif]&gt;![if&gt;</w:t>
      </w:r>
    </w:p>
    <w:p>
      <w:r>
        <w:rPr>
          <w:b/>
        </w:rPr>
        <w:t>E. 3.1</w:t>
      </w:r>
    </w:p>
    <w:p>
      <w:r>
        <w:t>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73 consid. 7.2.2.1 ; arrêt du Tribunal fédéral 1C_507/2021 du 13 juin 2022 consid. 3.1).</w:t>
      </w:r>
    </w:p>
    <w:p>
      <w:r>
        <w:rPr>
          <w:b/>
        </w:rPr>
        <w:t>E. 3.2</w:t>
      </w:r>
    </w:p>
    <w:p>
      <w:r>
        <w:t>L’art. 13 LTVTC règle les modalités de l’AUADP. ![endif]&gt;![if&gt; Selon son al. 1, les AUADP sont limitées en nombre et en durée, en vue d’assurer un bon fonctionnement des services de taxis, par une utilisation optimale du domaine public, et en vue de garantir la sécurité publique. L’al. 2 prévoit qu’elles sont attribuées moyennant le respect des conditions de délivrance, selon des critères objectifs et non discriminatoires, l’al. 3 qu’elles sont strictement personnelles et intransmissibles, l’al. 4 que le Conseil d’État en fixe le nombre maximal en fonction des besoins évalués périodiquement, détermine les modalités d’attribution et définit la notion d’usage effectif. Il ressort de l’art. 13 al. 5 LTVTC que l’AUADP est délivrée sur requête pour six ans à une personne physique ou morale aux conditions énumérées sous let. a à c. Selon l’al. 7 de cette disposition, l’AUADP est renouvelée lorsque la requête en renouvellement est déposée 3 mois avant l’échéance de l’autorisation (let. a) ; les conditions de l’al. 5 sont toujours réalisées (let. b). L’art. 21 RTVTC prévoit que le PCTN informe les titulaires six mois avant l'échéance de l’AUADP de la nécessité de déposer une requête en renouvellement (al. 1). La requête peut être formée au plus tôt 4 mois avant sa date d'échéance, mais doit être formée au plus tard trois mois avant sa date d'échéance (al. 2). Le PCTN n'entre pas en matière sur les requêtes en renouvellement déposées en dehors du délai (al. 3). La requête en renouvellement doit être déposée au moyen de la formule officielle correspondante, dûment complétée et accompagnée des documents mentionnés dans ladite formule (al. 4). L'art. 5 est applicable pour le surplus (al. 5). Selon l’art. 5 RTVTC, les requêtes en autorisation doivent être déposées auprès du PCTN au moyen de la formule officielle correspondante, dûment complétée par la requérante ou le requérant, et accompagnée de toutes les pièces mentionnées dans ladite formule (al. 1). La requête ne réalisant pas les conditions de l'al. 1 est retournée à la requérante ou au requérant, sans fixation d’un délai pour la compléter (al. 2). Les requêtes en autorisation valablement déposées sont traitées dans un délai de 2 mois (al. 5).</w:t>
      </w:r>
    </w:p>
    <w:p>
      <w:r>
        <w:rPr>
          <w:b/>
        </w:rPr>
        <w:t>E. 3.3</w:t>
      </w:r>
    </w:p>
    <w:p>
      <w:r>
        <w:t>En l’espèce, le recourant était au bénéfice d’une AUADP à compter du 1 er juillet 2017, valable jusqu’au 30 juin 2023. Il ne remet pas en cause le fait d’avoir reçu le courrier de l’autorité intimée du 5 janvier 2023 par lequel son attention été attirée sur le fait que son AUADP arriverait prochainement à échéance, qu’il était nécessaire de déposer une requête en renouvellement au moyen de la formule officielle qui serait disponible sur son site Internet dès le 20 janvier 2023 et que cette demande devrait lui parvenir au plus tôt dès le 28 février 2023 mais au plus tard le 31 mars 2023. Ces dates sont mises en évidence en gras dans le texte.![endif]&gt;![if&gt; Sous « concerne » dudit courrier, le RTVTC est expressément mentionné de même q ue sa référence dans le recueil systématique des lois genevoises. Le PCTN a encore explicitement indiqué dans son courrier du 5 janvier 2023 qu’il n’entrerait pas en matière sur les requêtes de renouvellement déposées en dehors du délai et qu’à défaut de procéder à temps, l’AUADP prendrait fin à sa date d’échéance, sans possibilité de renouvellement. Moyennant ces informations, il n’était pas nécessaire en sus d’interpeller le recourant sur la problématique de la tardiveté du dépôt de sa demande. À cet égard, il ne soutient à juste titre pas qu’il aurait adressé sa demande de renouvellement, datée du 3 avril et parvenue au PCTN le 5 avril 2023 dans le délai qui était expressément indiqué dans ce courrier du 5 janvier 2023. Dès lors, se sachant hors délai, il lui appartenait d’emblée d’expliquer les éventuelles causes pouvant ce nonobstant justifier la prise en compte de sa demande. C’est donc à tort qu’il fait le grief à l’autorité de ne pas l’avoir interpellé sur ce point avant de lui retourner sans suite sa demande le 30 mai 2023, conformément à l’art. 21 al. 3 RTVTC. Ce grief sera rejeté.</w:t>
      </w:r>
    </w:p>
    <w:p>
      <w:r>
        <w:rPr>
          <w:b/>
        </w:rPr>
        <w:t>E. 4</w:t>
      </w:r>
    </w:p>
    <w:p>
      <w:r>
        <w:t>Le recourant soutient qu’il a été empêché sans sa faute de respecter le délai de dépôt de sa demande au 31 mars 2023 au plus tard et que l’autorité intimée aurait fait preuve de formalisme excessif en la lui retournant.![endif]&gt;![if&gt;</w:t>
      </w:r>
    </w:p>
    <w:p>
      <w:r>
        <w:rPr>
          <w:b/>
        </w:rPr>
        <w:t>E. 4.1</w:t>
      </w:r>
    </w:p>
    <w:p>
      <w:r>
        <w:t>Selon l’art. 16 al. 1 LPA, un délai fixé par la loi ne peut être prolongé. Les cas de force majeure sont réservés. ![endif]&gt;![if&gt; Selon l’al. 3,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L'art. 16 al. 3 LPA ne s'applique qu'aux délais fixés par l'autorité, et non aux délais légaux ( ATA/1097/2022 du 1 er novembre 2022 consid. 6b ; ATA/608/2016 du 12 juillet 2016 consid. 3).</w:t>
      </w:r>
    </w:p>
    <w:p>
      <w:r>
        <w:rPr>
          <w:b/>
        </w:rPr>
        <w:t>E. 4.2</w:t>
      </w:r>
    </w:p>
    <w:p>
      <w:r>
        <w:t>Les cas de force majeure sont donc réservés, conformément à l'art. 16 al. 1 2 ème phr. LPA. Tombent sous cette notion les événements extraordinaires et imprévisibles qui surviennent en dehors de la sphère d'activité de l'intéressé et qui s’imposent à lui de façon irrésistible (SJ 1999 I 119 ; ATA/871/2019 du 7 mai 2019 et les références citées). Les conditions pour admettre un empêchement sont très strictes. Ce dernier doit être imprévisible et sa survenance ne doit pas être imputable à faute à l'administré (arrêt du Tribunal fédéral 2P.259/2006 du 18 avril 2007 consid. 3.2 et la jurisprudence citée ; ATA/1028/2016 du 6 décembre 2016 consid. 4 ; ATA/735/2015 du 14 juillet 2015 consid. 3b et la jurisprudence citée), partant de son représentant. Il doit être de nature telle que le respect des délais aurait exigé la prise de dispositions que l'on ne peut raisonnablement attendre de la part d'un homme d'affaires avisé ( ATA/633/2022 du 14 juin 2022 consid. 2a).</w:t>
      </w:r>
    </w:p>
    <w:p>
      <w:r>
        <w:rPr>
          <w:b/>
        </w:rPr>
        <w:t>E. 4.3</w:t>
      </w:r>
    </w:p>
    <w:p>
      <w:r>
        <w:t>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ATA/234/2014 du 8 avril 2014 consid. 10). La désorganisation de la vie privée suite au décès d’un proche a été considérée comme pouvant constituer un empêchement non fautif d’agir à temps et justifier une restitution de délai s’il survient peu avant l’échéance de celui-ci (arrêts du Tribunal fédéral 9C_54/2017 du 2 juin 2017 consid. 5 ; 1C_293/2010 du 21 juin 2010 consid. 2 ; ATA/153/2023 du 14 février 2023 consid. 2.3).</w:t>
      </w:r>
    </w:p>
    <w:p>
      <w:r>
        <w:rPr>
          <w:b/>
        </w:rPr>
        <w:t>E. 4.4</w:t>
      </w:r>
    </w:p>
    <w:p>
      <w:r>
        <w:t>Un formalisme excessif, prohibé par l’art. 29 al. 1 Cst.,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L'application stricte des règles sur les délais de recours ne relève en principe pas d'un formalisme excessif, mais se justifie dans l'intérêt d'un bon fonctionnement de la justice et de la sécurité du droit (ATF 104 Ia 4 consid. 3).</w:t>
      </w:r>
    </w:p>
    <w:p>
      <w:r>
        <w:rPr>
          <w:b/>
        </w:rPr>
        <w:t>E. 4.5</w:t>
      </w:r>
    </w:p>
    <w:p>
      <w:r>
        <w:t>En l’espèce, l’autorité intimée a fixé, selon courrier du 5 janvier 2023, un délai d’un mois au recourant pour déposer sa demande de prolongation d’AUADP conformément à l’art. 21 al. 2 RTVTC, à savoir entre le 28 février 2023, soit 4 mois au plus tôt avant l’échéance de son AUADP le 30 juin 2023, et le 31 mars 2023, correspondant aux 3 mois avant sa date d'échéance, soit le délai fixé à l’art. 13 al. 7 LTVTC. Il est constant que ce délai, tel que fixé par la loi, n’a pas été respecté par le recourant.![endif]&gt;![if&gt; C’est donc bien l’art. 16 al. 1 LPA qui trouve application, de sorte que l’existence ou non d’un cas de force majeure doit être examinée, un tel délai n’étant pas prolongeable. Il ressort du dossier que le recourant, avant de remplir et de signer sa demande de prolongation du 3 avril 2023, a entrepris plusieurs démarches pour réunir les documents nécessaires à son dépôt, à savoir un certificat de capacité civile délivré le 29 mars 2023 par le Tribunal de protection de l’adulte et de l’enfant, un extrait de son casier judiciaire daté du 25 janvier 2023, une attestation de l’office cantonal des véhicules du 20 février 2023, une attestation d’affiliation à l’office cantonal des assurances sociales du 21 février 2023 et un extrait d’un carnet de la poste comportant des versements effectués les 24 et 27 mars 2023, dont CHF 700.- en faveur du PCTN. Il apparaît ainsi que dès le mois de janvier 2023, il a commencé à accomplir les démarches nécessaires, de sorte qu’il peut être retenu qu’il avait bien compris l’importance du dépôt en temps et en heure d’une requête de prolongation répondant aux exigences légales. Comme déjà relevé, au moment du dépôt de sa demande de renouvellement, nonobstant le texte clair de la lettre d’information du 5 janvier 2023 et donc alors même qu’il se savait hors délai, fût-ce pour cinq jours, puisque l’autorité l’a reçue le 5 avril 2023 seulement, il n’a pas fait valoir de motif d’empêchement dirimant auprès de l’autorité. Il sera relevé que le délai fixé au vendredi 31 mars 2023 précédait de sept jours le vendredi Saint 7 avril 2023, de sorte que le recourant fait fausse route en cherchant à se prévaloir des fêtes pascales. Il ne s’est pas manifesté davantage jusqu’à la réception de la décision du 30 mai 2023 et a encore attendu 27 jours pour le faire. Ce n’est en effet que le 27 juin 2023 qu’il s’est prévalu d’un burnout qui lui a valu la délivrance d’un certificat médical du 3 avril 2023, un samedi, avec effet rétroactif au 25 mars 2023. Les circonstances de la délivrance d’un tel certificat médical interpellent. En tout état, ce document n’atteste pas de l’impossibilité pour le recourant de finaliser sa demande à temps, fût-ce avec l’aide d’un tiers, par exemple de son fils dont il a indiqué qu’il avait procédé, le 27 mars 2023, au versement à la poste destiné au PCTN, précisément en lien avec la prolongation de son AUADP. Face à ces éléments, le recourant échoue à démontrer l’existence d’un cas de force majeure, de sorte que c’est à juste titre que l’autorité intimée a refusé de prolonger son AUADP.</w:t>
      </w:r>
    </w:p>
    <w:p>
      <w:r>
        <w:rPr>
          <w:b/>
        </w:rPr>
        <w:t>E. 5</w:t>
      </w:r>
    </w:p>
    <w:p>
      <w:r>
        <w:t>Le recourant soutient que l’on ne pourrait pas lui opposer un dépassement du délai de cinq jours pour le dépôt de sa demande alors que l’autorité n’aurait pas respecté le délai de six mois entre l’échéance de son AUADP et la lettre d’information du 5 janvier 2023, tel que prévu à l’art. 21 al. 1 RTVTC. Cette « convocation » aurait donc dû intervenir le 30 décembre 2022.![endif]&gt;![if&gt; Il fait fausse route. En effet, alors que les art. 13 al. 7 LTVC cum 21 al. 2 et 3 RTVTC prévoient comme déjà relevé un délai légal, qui s’il n’est pas respecté a pour conséquence une non entrée en matière de l’autorité intimée, l’absence de respect par l’autorité du délai de six mois selon l’art. 21 al. 1 RTVTC est sans conséquence. Il s’agit donc d’un délai d’ordre.</w:t>
      </w:r>
    </w:p>
    <w:p>
      <w:r>
        <w:rPr>
          <w:b/>
        </w:rPr>
        <w:t>E. 6</w:t>
      </w:r>
    </w:p>
    <w:p>
      <w:r>
        <w:t>Le recourant soutient que le non renouvellement de son AUADP violerait les principes de proportionnalité et de la liberté économique.![endif]&gt;![if&gt;</w:t>
      </w:r>
    </w:p>
    <w:p>
      <w:r>
        <w:rPr>
          <w:b/>
        </w:rPr>
        <w:t>E. 6.1</w:t>
      </w:r>
    </w:p>
    <w:p>
      <w:r>
        <w:t>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 Michel HOTTELIER, Droit constitutionnel suisse, vol. II, 3 e éd., 2013, n. 952). Tant les personnes physiques que les personnes morales sont titulaires de la liberté économique ainsi définie (ATF 131 I 223 consid. 4.1 ; Message précité, FF 1997 I 1 ss, p. 179).![endif]&gt;![if&gt;</w:t>
      </w:r>
    </w:p>
    <w:p>
      <w:r>
        <w:rPr>
          <w:b/>
        </w:rPr>
        <w:t>E. 6.2</w:t>
      </w:r>
    </w:p>
    <w:p>
      <w:r>
        <w:t>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4.3).![endif]&gt;![if&gt;</w:t>
      </w:r>
    </w:p>
    <w:p>
      <w:r>
        <w:rPr>
          <w:b/>
        </w:rPr>
        <w:t>E. 6.3</w:t>
      </w:r>
    </w:p>
    <w:p>
      <w:r>
        <w:t>En l'espèce, la caducité au 30 juin 2023 de l'AUADP, à son échéance de six ans, liée aux plaques d'immatriculation GE 1______ délivrée au recourant constitue une atteinte à sa liberté économique. Elle repose sur une base légale, à savoir l’art. 13 al. 5 et al. 7 LTVTV.![endif]&gt;![if&gt; À teneur de l'art. 13 al. 1 LTVTC, le nombre des AUADP est limité en vue d'assurer un bon fonctionnement des services de taxis, par une utilisation optimale du domaine public, et en vue de garantir la sécurité publique. Cet objectif relève d'un intérêt public évident autorisant une restriction de la liberté économique. Quant à la proportionnalité, la caducité de l'AUADP apparaît apte à atteindre le but recherché, dans la mesure où il s'agit de garantir un service de taxis efficace et adapté, mais également d’assurer une égalité de traitement vu le numerus clausus . Le recourant, qui a fautivement omis de déposer sa demande de renouvellement d’AUADP dans le délai, dispose de la possibilité de déposer une nouvelle requête sous réserve d'en remplir les conditions, partant l’autorité intimée ne pouvait être tenue pour responsable qu’il soit dans ce cas inscrit sur la liste d’attente. Au vu de ce qui précède, la décision querellée est conforme au droit. Mal fondé, le recours sera rejeté. Le prononcé du présent arrêt rend sans objet la demande de restitution de l’effet suspensif.</w:t>
      </w:r>
    </w:p>
    <w:p>
      <w:r>
        <w:rPr>
          <w:b/>
        </w:rPr>
        <w:t>E. 7</w:t>
      </w:r>
    </w:p>
    <w:p>
      <w:r>
        <w:t>Vu l’issue du litige, un émolument de CHF 500.-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