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A/252/2024 vom 13. Februar 2025</w:t>
      </w:r>
    </w:p>
    <w:p>
      <w:r>
        <w:t>GE Cour de justice, 2025-02-13, FR</w:t>
      </w:r>
    </w:p>
    <w:p>
      <w:r>
        <w:rPr>
          <w:b/>
        </w:rPr>
        <w:t xml:space="preserve">Quelle: </w:t>
      </w:r>
      <w:r>
        <w:t>https://mcp.opencaselaw.ch/entscheid/ge_gerichte_A_252_2024</w:t>
      </w:r>
    </w:p>
    <w:p>
      <w:r>
        <w:t>FR: GE_GERICHTE A/252/2024 du 13 février 2025</w:t>
      </w:r>
    </w:p>
    <w:p>
      <w:r>
        <w:t>IT: GE_GERICHTE A/252/2024 del 13 febbraio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compte tenu de la suspension des délais pendant la période du 18 décembre au 2 janvier inclusivement (art. 38 al. 4 let. c LPGA et art. 89C let. c LPA), le recours est recevable (art. 60 al. 1 LPGA).</w:t>
      </w:r>
    </w:p>
    <w:p>
      <w:r>
        <w:rPr>
          <w:b/>
        </w:rPr>
        <w:t>E. 2</w:t>
      </w:r>
    </w:p>
    <w:p>
      <w:r>
        <w:t>Le litige porte sur la validité de la demande en restitution du 23 juillet 2020 des prestations complémentaires, subsides à l'assurance-maladie et frais de maladie versés au recourant du 1 er août 2013 au 31 août 2019.</w:t>
      </w:r>
    </w:p>
    <w:p>
      <w:r>
        <w:rPr>
          <w:b/>
        </w:rPr>
        <w:t>E. 3.1</w:t>
      </w:r>
    </w:p>
    <w:p>
      <w:r>
        <w:t>Des modifications législatives et réglementaires sont entrées en vigueur au 1 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(ATF 144 V 210 consid. 4.3.1 et les références ; 136 V 24 consid. 4.3 ; 130 V 445 consid. 1 et les références ; 129 V 1 consid. 1.2 et les références). Dans la mesure où le recours porte sur la restitution de prestations complémentaires versées du 1 er août 2013 au 31 août 2019, période antérieure au 1 er janvier 2021, le litige reste soumis à l'ancien droit, en l'absence de dispositions transitoires prévoyant une application rétroactive du nouveau droit. Les dispositions légales et réglementaires seront donc citées ci-après dans leur teneur en vigueur jusqu'au 31 décembre 2020.</w:t>
      </w:r>
    </w:p>
    <w:p>
      <w:r>
        <w:rPr>
          <w:b/>
        </w:rPr>
        <w:t>E. 3.2</w:t>
      </w:r>
    </w:p>
    <w:p>
      <w:r>
        <w:t>S'agissant des prestations complémentaires fédérales,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w:t>
      </w:r>
    </w:p>
    <w:p>
      <w:r>
        <w:rPr>
          <w:b/>
        </w:rPr>
        <w:t>E. 3.3</w:t>
      </w:r>
    </w:p>
    <w:p>
      <w:r>
        <w:t>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Conformément à l’art. 33 de la loi d’application de la loi fédérale sur l’assurance-maladie du 29 mai 1997 (LaLAMal - J 3 05), les subsides indûment touchés doivent être restitués en appliquant par analogie l'article 25 de la LPGA (al. 1). Lorsque des subsides ont été indûment touchés par un bénéficiaire des prestations du service, ce service peut en demander la restitution au nom et pour le compte du service de l'assurance-maladie (al. 2).</w:t>
      </w:r>
    </w:p>
    <w:p>
      <w:r>
        <w:rPr>
          <w:b/>
        </w:rPr>
        <w:t>E. 3.4</w:t>
      </w:r>
    </w:p>
    <w:p>
      <w:r>
        <w:t>En vertu de l'art. 25 al. 2 LPGA (dans sa teneur en vigueur jusqu'au 31 décembre 2020),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 cf . ATF 134 V 353 consid. 3.1 et les références). Le délai de péremption absolu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Contrairement à l'art. 67 de la loi fédérale du 30 mars 1911, complétant le Code civil suisse (CO, Code des obligations - RS 220), le délai de péremption d'une année de l'art. 25 al. 2 LPGA ne commence ainsi pas à courir lors de la connaissance effective, mais déjà au moment où le créancier aurait pu reconnaître, en faisant preuve de l'attention nécessaire, que les conditions d'une prétention en restitution étaient remplies (arrêt du Tribunal fédéral K 70/06 du 30 juillet 2007 consid. 5.1 non publié in ATF 133 V 579 et les références).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3.5</w:t>
      </w:r>
    </w:p>
    <w:p>
      <w:r>
        <w:t>En matière de prestations complémentaires, ce sont principalement les art. 31 LPC (manquement à l’obligation de communiquer), 146 (escroquerie) et 148a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d’une peine pécuniaire (al. 1). Dans les cas de peu de gravité, la peine est l’amende (al. 2). Selon l'art. 97 al. 1 CP, l'action pénale se prescrit par 30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rPr>
          <w:b/>
        </w:rPr>
        <w:t>E. 3.6</w:t>
      </w:r>
    </w:p>
    <w:p>
      <w:r>
        <w:t>L’art. 148a CP, entré en vigueur le 1 er octobre 2016,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Quant à l'art. 31 al. 1 let. a LPC, applicable à titre de droit cantonal supplétif ( cf . art. 45 LPCC), il prévoit qu'est puni, celui qui, par des indications fausses ou incomplètes, ou de toute autre manière, obtient d’un canton ou d’une institution d’utilité publique, pour lui-même ou pour autrui, l’octroi indu d’une prestation au sens de la présente loi. L'art. 148a CP trouve application lorsque l'élément d'astuce, typique de l'escroquerie, n'est pas réalisé. L'infraction englobe toute tromperie. Elle peut être commise par le biais de déclarations fausses ou incomplètes ou en passant sous silence certains faits. La variante consistant à « passer des faits sous silence » englobe également, selon le Message du Conseil fédéral,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 passer des faits sous silence » ne vise donc pas uniquement le fait de s'abstenir de répondre aux questions du prestataire (arrêt du Tribunal fédéral 6B_886/2022 du 29 mars 2023 consid. 2.1.2 et les références). La tromperie doit provoquer une erreur (par quoi il faut entendre une représentation erronée ou incomplète de la réalité) auprès de son destinataire ou, si l’erreur est préexistante, conforter ce dernier dans sa vision biaisée de la réalité (GARBARSKI/BORSODI in Commentaire romand du code pénal II, 2017, n. 18 ad art. 148a). Sous l'angle subjectif, l'art. 148a CP décrit une infraction intentionnelle et suppose, s'agissant de la variante consistant à « passer des faits sous silence », que l'auteur ait conscience de l'existence et de l'ampleur de son devoir d'annonce, ainsi que la volonté de tromper. Le dol éventuel suffit (arrêt du Tribunal fédéral 6B_886/2022 du 29 mars 2023 consid. 2.1.3 et les références). L’obtention illicite de prestations d’une assurance sociale ou de l’aide sociale, au sens de l’art. 148a CP, a notamment été retenue dans le cas d’une bénéficiaire de l’assistance sociale qui n’avait pas annoncé la réception de montants sur ses comptes bancaires, alors qu’elle avait signé les documents lui rappelant ses obligations d’annonce en cas de changement dans sa situation financière. Elle ne pouvait ainsi prétendre qu’elle ignorait ou qu’elle ne pouvait pas savoir que son comportement était illicite (arrêt du Tribunal fédéral 6B_1063/2020 du 22 décembre 2021). Cette infraction a également été retenue dans le cas d'une bénéficiaire de l'aide sociale qui n'avait pas annoncé avoir mis à disposition d'un tiers l'appartement financé par les services sociaux. Ce comportement passif est incriminé indépendamment d'une position de garant et le simple fait, pour l'intéressée, de ne pas communiquer les changements, suffit à réaliser l'infraction, indépendamment de tout questionnement sur sa situation de la part du service de l'aide sociale (arrêt du Tribunal fédéral 6B_886/2022 du 29 mars 2023 consid. 2.3).</w:t>
      </w:r>
    </w:p>
    <w:p>
      <w:r>
        <w:rPr>
          <w:b/>
        </w:rPr>
        <w:t>E. 4.1</w:t>
      </w:r>
    </w:p>
    <w:p>
      <w:r>
        <w:t>En l'espèce, il ressort des faits de la procédure, notamment des pièces produites par le recourant, qu'il disposait de trois biens immobiliers et de comptes bancaires au Portugal antérieurement au dépôt de sa première demande de prestations complémentaires. Il est par ailleurs admis qu'il n'a pas fait mention de ces biens, ni dans sa demande de 2009, ni dans celle de 2010, ni suite aux diverses lettres et décisions de l'intimé envoyées chaque année lui demandant d'annoncer tout changement dans sa situation et de contrôler attentivement les montants indiqués dans les plans de calcul. Ce n'est qu'en mars 2017 que le recourant a annoncé ces éléments de fortune à l’administration fiscale, qui a rendu de nouveaux avis de taxation en juin 2019, lesquels ont fondé la demande de restitution de l'intimé.</w:t>
      </w:r>
    </w:p>
    <w:p>
      <w:r>
        <w:rPr>
          <w:b/>
        </w:rPr>
        <w:t>E. 4.2</w:t>
      </w:r>
    </w:p>
    <w:p>
      <w:r>
        <w:t>Le recourant ne conteste pas que la prise en considération de ces divers éléments de fortune influence son droit aux prestations complémentaires, au remboursement des frais médicaux et aux subsides à l'assurance-maladie et qu’elle justifie ainsi la demande de restitution au sens de l'art. 25 al. 1 LPGA. Au vu des éléments susvisés, la Cour de céans retient que le recourant, par ses indications fausses et incomplètes au sujet de sa situation patrimoniale, a réalisé les éléments constitutifs objectifs et subjectifs de l'art. 31 al. 1 let. a LPC depuis 2009, ainsi que l'infraction pénale réprimée à l'art. 148a CP depuis le 1 er octobre 2016, à tout le moins par dol éventuel. Si tant est qu'il faille retenir que le recourant se prévaut de ce que son comportement ne pourrait tomber sous le coup des dispositions précitées en raison du fait qu'il s'est auto-dénoncé, une telle argumentation ne pourrait qu'être rejetée. Contrairement à ce que le recourant prétend, il n'a en effet pas respecté les conditions posées par la lettre adressée par le conseiller d'État à tous les bénéficiaires de prestations complémentaires après l'entrée en vigueur de l'art. 148a CP (qui les invitait à se dénoncer spontanément jusqu'au 31 décembre 2016). D'une part, il ne s'est pas dénoncé dans le délai imparti, d'autre part, il n'a pas déclaré ses éléments de fortune à l'intimé, mais à l'AFC. Le SPC n'en a eu connaissance qu'ultérieurement. Qui plus est, les possibilités offertes par le département de tutelle de l'intimé visaient à soustraire de l'action pénale tout bénéficiaire déclarant spontanément des éléments patrimoniaux non connus, l'engagement étant pris de ne pas dénoncer ces situations aux autorités pénales ; cela n'impliquait nullement que les délais pénaux de prescription plus longs ne puissent être appliqués. À l'inverse de ce que soutient encore le recourant, ses agissements ne peuvent être appréhendés par le biais de l'art. 31 al. 2 let. a LPC – punissant de l'amende la personne qui, en violation de son obligation, donne sciemment des renseignements inexacts ou refuse d’en donner –, de sorte que le délai de prescription de l'action pénale (de trois ans en application de l'art. 109 CP) serait plus court que celui de cinq ans prévu par l'art. 25 al. 2 LPGA, rendant cette dernière disposition seule applicable. Comme l'énonce expressément l'art. 31 al. 2 LPC, son application est en effet subsidiaire à l'art. 31 al. 1 LPC (« à moins que les faits ne relèvent de l’al. 1 »), dont les éléments constitutifs objectifs et subjectifs sont ici remplis. Au vu de ce qui précède, l'intimé était fondé à se prévaloir du délai de prescription plus long du droit pénal, en l'occurrence du délai de sept ans prévu par l'art. 97 al. 1 let. d CP, au vu des peines encourues en cas d'infractions aux art. 148a CP et 31 al. 1 LPC, et à faire rétroagir sa demande de restitution au 1 er août 2013.</w:t>
      </w:r>
    </w:p>
    <w:p>
      <w:r>
        <w:rPr>
          <w:b/>
        </w:rPr>
        <w:t>E. 4.3</w:t>
      </w:r>
    </w:p>
    <w:p>
      <w:r>
        <w:t>Il reste néanmoins à examiner si l'intimé a exercé son droit à la restitution des prestations versées indûment dans le délai relatif d'une année imposé par l'art. 25 al. 2 1 ère phrase LPGA, dans sa version en vigueur jusqu'au 31 décembre 2020. Le recourant affirme que l'intimé a eu une parfaite connaissance des faits qui lui sont reprochés avant juin 2019, dans la mesure où sa dénonciation spontanée ne se limitait pas à l'AFC et qu’elle a eu pour effet d'informer l'ensemble de l'État de la situation réelle de son patrimoine. Une telle interprétation ne peut être confirmée. Comme déjà indiqué, le recourant n'a pas déclaré ses éléments de fortune à l'intimé, mais uniquement à l'autorité fiscale, et aucun élément concret ne permet de retenir que l'intimé y a eu accès avant que l’AFC n'émette de nouveaux bordereaux d'impôt et les enregistre dans sa base de données. Selon la jurisprudence, il est au contraire notoire que l'administration fiscale ne transmet pas même d'office à l'intimé les avis de taxation des bénéficiaires ( ATAS/807/2012 du 19 juin 2012). L'intimé s'est en outre expliqué concernant le fait qu'il a initié sa demande de révision et a adressé une décision de suspension provisoire des prestations le 3 juin 2019 déjà, alors que les avis de taxation rectifiés établis par l'AFC sont datés du 6 juin 2019. Rien ne permet de mettre en doute ses précisions selon lesquelles ces documents étaient déjà consultables le 3 juin 2019, date qui figure par ailleurs sur les codes-barres de réception desdites pièces. À ce propos, le Tribunal fédéral a déjà dit que, selon le cours ordinaire des choses, une administration publique appose un tel timbre sur un acte le jour où elle l'enregistre au dossier ; en particulier les organes des assurances sociales indiquent systématiquement sur les documents qui leur sont adressés ou qu'ils ajoutent au dossier le jour auquel ces envois leur parviennent, respectivement le jour auquel ils enregistrent une nouvelle pièce (arrêt du Tribunal fédéral 9C_632/2012 du 10 janvier 2013 consid. 6.2.4). Il peut donc être tenu pour établi, à tout le moins en l'absence d'indices contraires, que l'autorité en prend connaissance à la date indiquée. Dans le cas d'espèce, il peut par conséquent être retenu que l'intimé a été informé le 3 juin 2019 que le recourant disposait d'avoirs et de biens immobiliers au Portugal. Dans cette mesure, la demande d'instruction complémentaire du recourant visant à ce que l'intimé fournisse des preuves de la date à laquelle il a consulté la base de données de l'AFC apparaît inutile. Il reste à déterminer si les informations dont l'intimé a eu connaissance le 3 juin 2019 étaient suffisantes pour fonder une demande de restitution de prestations, ou si d'autres investigations devaient être menées par ses soins avant de statuer par décision. L'intimé soutient que tel n’est pas le cas, puisqu’il devait connaître la valeur vénale des biens immobiliers situés à l'étranger. Certes, aux termes de l'art. 17a al. 4 OPC AI/AVS, lorsque des immeubles ne servent pas d’habitation au requérant ou à une personne comprise dans le calcul de la prestation complémentaire, ils doivent être pris en compte à la valeur vénale. S'agissant des immeubles sis à l'étranger, on peut se fonder sur une estimation établie à l’étranger s’il n’est pas raisonnablement possible de procéder à une autre estimation (ch. 3445.04 des directives concernant les prestations complémentaires à l’AVS et à l’AI [DPC]). C’est la raison pour laquelle l'intimé a réclamé à son bénéficiaire des estimations officielles de la valeur vénale et de la valeur locative des biens sis au Portugal, le jour même où il a initié la révision. Sans réponse de l’intéressé, malgré deux relances, le SPC a finalement mis en terme au versement des prestations pour cause d'absence de collaboration, ensuite de quoi lui sont enfin parvenues certaines pièces, le 30 septembre 2019. Contrairement à ce qu'affirme l'intimé, ce n’est pas ce jour-là qu’il a obtenu les documents sollicités pour établir la valeur vénale des biens. Les pièces transmises à cette date par le recourant consistaient en effet en des factures d'impôt des autorités portugaises, des déclarations de biens immobiliers signées pour lui et son épouse (partiellement remplies, seul un bien étant mentionné), des extraits bancaires suisses et portugais, des attestations des rentes du premier et du deuxième pilier et des documents afférents à la location de l'appartement en Suisse ; aucune évaluation de la valeur vénale ou estimation de la valeur locative n’était fournie. Cela n'a pas empêché l'intimé de procéder à de nouveaux calculs et de réclamer la restitution de toutes les prestations versées depuis le 1 er juin 2013, par décision du 23 juillet 2020. Concernant le montant de la fortune immobilière, on constate que le montant de CHF 267'907.- retenu dans cette décision correspond aux chiffres pris en considération par l'AFC dans son avis de taxation immobilier du 6 juin 2019 (addition de la valeur répertoriée des trois biens, soit CHF 155'007.-, CHF 63'430.- et CHF 49'470.-). Les données de l'AFC mentionnaient en outre les dettes et intérêts hypothécaires, ainsi que l'état de la fortune mobilière. Le résultat du calcul réalisé le 3 juin 2019 lors de l'examen provisoire du droit aux prestations aboutissait par ailleurs déjà à une différence entre les dépenses reconnues et le revenu déterminant de plus de CHF 20'000.-, ce qui a conduit l'intimé à suspendre provisoirement le droit aux prestations. Au vu des données disponibles le 3 juin 2019, il apparaissait ainsi clairement que le recourant n'avait pas droit aux prestations complémentaires et que les versements effectués en sa faveur depuis décembre 2012 l’avaient été à tort, ses ressources dépassant largement ses besoins. L'intimé ne précise pas quelles données issues des pièces communiquées le 30 septembre 2019 auraient modifié cette appréciation, les justificatifs remis étant au demeurant de même nature que ceux transmis à l’AFC et ayant uniquement permis d'affiner les calculs, sans modifier le résultat final, à savoir la restitution intégrale des diverses prestations accordées. Au surplus, quand bien même la demande de l'intimé visant à obtenir des informations sur la valeur vénale des biens aurait été suivie d'effet, on ne voit pas qu'une telle réponse aurait influencé l'issue de la procédure, la valeur marchande d'un bien étant notoirement plus élevée que sa valeur fiscale. Dans ces circonstances, il doit être conclu que le délai de péremption d'une année a commencé à courir le 3 juin 2019, les éléments au dossier permettant alors déjà de reconnaître que les prestations avaient été versées à tort et de fixer l’étendue de la restitution à réclamer. La situation du cas d'espèce se distingue ainsi de celle décrite par exemple dans l' ATAS/955/2013 du 26 septembre 2013 (l'autorité n’avait eu connaissance, dans un premier temps, que de l’existence d'un immeuble à l'étranger, sans en connaître sa valeur). La décision en restitution ayant été rendue le 23 juillet 2020, il sied de constater qu'elle a été formulée tardivement, le délai de péremption relatif d'une année étant déjà échu à cette date.</w:t>
      </w:r>
    </w:p>
    <w:p>
      <w:r>
        <w:rPr>
          <w:b/>
        </w:rPr>
        <w:t>E. 5</w:t>
      </w:r>
    </w:p>
    <w:p>
      <w:r>
        <w:t>Partant, le recours est admis et la décision sur opposition du 6 décembre 2023 annulée. Le recourant obtenant gain de cause, une indemnité de CHF 2'500.- lui est accordée à titre de participation à ses frais et dépens (art. 61 let. g LPGA ; art. 6 du règlement sur les frais, émoluments et indemnités en matière administrative du 30 juillet 1986 [RFPA - E 5 10.03]).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