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A/251/2012 vom 31. Juli 2012</w:t>
      </w:r>
    </w:p>
    <w:p>
      <w:r>
        <w:t>GE Cour de justice, 2012-07-31, FR</w:t>
      </w:r>
    </w:p>
    <w:p>
      <w:r>
        <w:rPr>
          <w:b/>
        </w:rPr>
        <w:t xml:space="preserve">Quelle: </w:t>
      </w:r>
      <w:r>
        <w:t>https://mcp.opencaselaw.ch/entscheid/ge_gerichte_A_251_2012</w:t>
      </w:r>
    </w:p>
    <w:p>
      <w:r>
        <w:t>FR: GE_GERICHTE A/251/2012 du 31 juillet 2012</w:t>
      </w:r>
    </w:p>
    <w:p>
      <w:r>
        <w:t>IT: GE_GERICHTE A/251/2012 del 31 luglio 2012</w:t>
      </w:r>
    </w:p>
    <w:p>
      <w:pPr>
        <w:pStyle w:val="Heading2"/>
      </w:pPr>
      <w:r>
        <w:t>Erwägungen</w:t>
      </w:r>
    </w:p>
    <w:p>
      <w:r>
        <w:rPr>
          <w:b/>
        </w:rPr>
        <w:t>E. 4</w:t>
      </w:r>
    </w:p>
    <w:p>
      <w:r>
        <w:t>Compte tenu de la suspension du délai de recours du 18 décembre au 2 janvier inclusivement (art. 38 al. 4 let. b LPGA ; cf. également art. 17A de la loi sur la procédure administrative, du 12 septembre 1985 - LPA ; RS E 5 10), le recours du 27 janvier 2012, interjeté dans la forme prévue par la loi, est recevable (art. 56 et 60 LPGA; art. 89B de la loi sur la procédure administrative du 12 septembre 1958 [LPA; RS E 5 10]).</w:t>
      </w:r>
    </w:p>
    <w:p>
      <w:r>
        <w:rPr>
          <w:b/>
        </w:rPr>
        <w:t>E. 5</w:t>
      </w:r>
    </w:p>
    <w:p>
      <w:r>
        <w:t>Le litige porte sur le droit du recourant à la prise en charge par l'assurance-invalidité d'un moyen auxiliaire, à savoir un émetteur IR micro-programmable IR-1SP. Selon l'art. 8 LAI, les assurés invalides ou menacés d'une invalidité imminente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LAI,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(ATF 131 V 14 consid. 3.4.2). Parmi les moyens auxiliaires énumérés dans l'annexe à l'OMAI figurent les appareils de contrôle de l'environnement dont la remise est prévue lorsque l'assuré très gravement paralysé, qui n'est ni hospitalisé, ni placé dans une institution spécialisée pour malades chroniques, ne peut établir des contacts avec son entourage qu'au moyen de ce dispositif ou lorsque ce dernier lui permet de se déplacer en fauteuil roulant électrique de façon indépendante au lieu d'habitation (ch. 15.05 annexe OMAI).</w:t>
      </w:r>
    </w:p>
    <w:p>
      <w:r>
        <w:rPr>
          <w:b/>
        </w:rPr>
        <w:t>E. 7</w:t>
      </w:r>
    </w:p>
    <w:p>
      <w:r>
        <w:t>Aux termes de la Circulaire concernant la remise des moyens auxiliaires par l'assurance-invalidité (CMAI), valable à partir du 1 er janvier 2008, dans son état au 1 er juillet 2011, "récepteurs et dispositifs de commande font partie de l'équipement d'une institution pour handicapés. C'est pourquoi les handicapés placés dans des institutions spécialisées n'ont pas droit à ces appareils. En revanche, l'assurance-invalidité prend en charge les frais des composantes recelant un caractère personnel prépondérant que la personne assurée pourrait emporter en cas de déménagement et utiliser ailleurs" (ch. 15.05.3 CMAI), comme l'émetteur par exemple (ch. 15.05.2 CMAI). Lorsque les conditions de leur prise en charge par l'assurance-invalidité sont réunies, les appareils de contrôle de l'environnement au sens du ch. 15.05 de l'annexe à l'OMAI, tels que émetteurs, récepteurs et dispositifs de commande peuvent notamment englober un ouvre-porte automatique (ATF non publié I 133/06 du 15 mars 2007, consid. 8.1). Selon la jurisprudence, un ouvre-porte automatique est considéré comme un appareil de contrôle de l'environnement au sens du ch. 15.05 de l'annexe à l'OMAI s'il est situé à l'intérieur du lieu d'habitation. En revanche, lorsqu'un tel dispositif a pour fonction de permettre l'accès à l'habitation, l'assuré n'y a droit que s'il en a besoin pour effectuer le trajet qui le sépare du lieu de travail, d'apprentissage ou de formation ou pour accomplir ses travaux habituels (ATF non publié du 15 mars 2007 précité, ibidem). La notion de "besoin" implique quant à elle une amélioration du rendement d'au moins 10% dans l'une des activités mentionnées à l'art. 2 al. 2 OMAI par le biais du dispositif dont la prise en charge est demandée (ch. 13.05.5* CMAI).</w:t>
      </w:r>
    </w:p>
    <w:p>
      <w:r>
        <w:rPr>
          <w:b/>
        </w:rPr>
        <w:t>E. 8</w:t>
      </w:r>
    </w:p>
    <w:p>
      <w:r>
        <w:t>En l'espèce, tant le recourant que l'intimé s'accordent à qualifier la résidence X__________ d'institution spécialisée au sens du ch. 15.05 de l'annexe à l'OMAI. Comme rien ne permet de douter de la pertinence de la qualification faite par l'OAI, ce point n'est pas litigieux. Il en va de même de l'exclusion des récepteurs et dispositifs de commande de la liste des moyens auxiliaires auxquels le recourant peut prétendre en tant que personne vivant dans une telle résidence (ch. 15.03.3 CMAI). Il ressort également des pièces versées à la procédure que le recourant n'a pas besoin d'un ouvre-porte automatique pour exercer l'une des activités mentionnées à l'art. 2 al. 2 OMAI, mais uniquement pour entrer dans son studio situé à l'intérieur d'une institution spécialisée au sens du chiffre 15.05 de l'annexe à l'OMAI. En conséquence, demeure seule ouverte la question de savoir si le recourant a droit à la prise en charge de l'émetteur IR micro-programmable IR-1SP pour se déplacer et/ou établir des contacts avec son entourage dans les limites fixées par l'art. 2 al. 1 OMAI et l'annexe à l'OMAI.</w:t>
      </w:r>
    </w:p>
    <w:p>
      <w:r>
        <w:rPr>
          <w:b/>
        </w:rPr>
        <w:t>E. 9</w:t>
      </w:r>
    </w:p>
    <w:p>
      <w:r>
        <w:t>Quoi qu'il en soit, même en donnant au "lieu d'habitation" (art. 15.05 annexe OMAI) une acception plus large qui engloberait les murs de la résidence (ce qui, formellement, ferait de la porte incriminée une porte située à l'intérieur), il n'en demeure pas moins que l'émetteur infrarouge constituerait une solution adaptée à un vice architectural spécifique à la résidence (installation a posteriori de poignées rondes dites "de sécurité"), sans lequel le recourant pourrait se déplacer de manière autonome à l'aide des moyens auxiliaires déjà octroyés. En conséquence, l'émetteur IR micro-programmable IR-1SP ne présenterait pas, dans cette hypothèse, le caractère personnel prépondérant d'une composante que la personne assurée pourrait emporter en cas de déménagement et utiliser ailleurs (cf. ch. 15.05.3 CMAI). En conséquence, les conditions d'une prise en charge de cet émetteur par l'assurance-invalidité ne seraient de toute manière pas réalisées.</w:t>
      </w:r>
    </w:p>
    <w:p>
      <w:r>
        <w:rPr>
          <w:b/>
        </w:rPr>
        <w:t>E. 10</w:t>
      </w:r>
    </w:p>
    <w:p>
      <w:r>
        <w:t>Au vu de ce qui précède, le recours, mal fondé, sera rejeté. La procédure n'étant pas gratuite, (art. 69 al. 1 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