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A/2517/2008 vom 10. Juni 2008</w:t>
      </w:r>
    </w:p>
    <w:p>
      <w:r>
        <w:t>GE Cour de justice, 2008-06-10, FR</w:t>
      </w:r>
    </w:p>
    <w:p>
      <w:r>
        <w:rPr>
          <w:b/>
        </w:rPr>
        <w:t xml:space="preserve">Quelle: </w:t>
      </w:r>
      <w:r>
        <w:t>https://mcp.opencaselaw.ch/entscheid/ge_gerichte_A_2517_2008</w:t>
      </w:r>
    </w:p>
    <w:p>
      <w:r>
        <w:t>FR: GE_GERICHTE A/2517/2008 du 10 juin 2008</w:t>
      </w:r>
    </w:p>
    <w:p>
      <w:r>
        <w:t>IT: GE_GERICHTE A/2517/2008 del 10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10 juin 2008, le service des automobiles et de la navigation (ci-après  : SAN) a ordonné à F______S.A., détentrice du scooter Piaggio Vespa immatriculé plaques GE ______, de présenter ce véhicule à la visite technique dans les trente jours, faute de quoi le permis de circulation et les plaques de contrôle seraient retirés. Le 8 juillet 2008, l’administrateur de la société précitée a adressé un courrier au Tribunal administratif, se bornant à solliciter un délai supplémentaire pour la visite technique dudit véhicule. Lors de l’audience de comparution personnelle des parties, convoquée le 5 septembre 2008, F______S.A. n’était pas représentée ni excusée. A cette occasion, la représentante du SAN a indiqué que le véhicule avait été présenté à la visite le 29 juillet 2008 mais qu’il s’agissait d’un échec partiel, le véhicule devant être présenté une nouvelle fois.</w:t>
      </w:r>
    </w:p>
    <w:p>
      <w:r>
        <w:rPr>
          <w:b/>
        </w:rPr>
        <w:t>E. 2</w:t>
      </w:r>
    </w:p>
    <w:p>
      <w:r>
        <w:t>En conséquence, le recours sera déclaré irrecevable.</w:t>
      </w:r>
    </w:p>
    <w:p>
      <w:r>
        <w:rPr>
          <w:b/>
        </w:rPr>
        <w:t>E. 3</w:t>
      </w:r>
    </w:p>
    <w:p>
      <w:r>
        <w:t>Vu l’issue du litige, un émolument de CHF 200.-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