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A/2511/2014 vom 30. Juni 2015</w:t>
      </w:r>
    </w:p>
    <w:p>
      <w:r>
        <w:t>GE Cour de justice, 2015-06-30, FR</w:t>
      </w:r>
    </w:p>
    <w:p>
      <w:r>
        <w:rPr>
          <w:b/>
        </w:rPr>
        <w:t xml:space="preserve">Quelle: </w:t>
      </w:r>
      <w:r>
        <w:t>https://mcp.opencaselaw.ch/entscheid/ge_gerichte_A_2511_2014</w:t>
      </w:r>
    </w:p>
    <w:p>
      <w:r>
        <w:t>FR: GE_GERICHTE A/2511/2014 du 30 juin 2015</w:t>
      </w:r>
    </w:p>
    <w:p>
      <w:r>
        <w:t>IT: GE_GERICHTE A/2511/2014 del 30 giugno 2015</w:t>
      </w:r>
    </w:p>
    <w:p>
      <w:pPr>
        <w:pStyle w:val="Heading2"/>
      </w:pPr>
      <w:r>
        <w:t>Erwägungen</w:t>
      </w:r>
    </w:p>
    <w:p>
      <w:r>
        <w:rPr>
          <w:b/>
        </w:rPr>
        <w:t>E. 2</w:t>
      </w:r>
    </w:p>
    <w:p>
      <w:r>
        <w:t>À teneur de l'art. 1 al. 1 LAA, les dispositions de la LPGA s'appliquent à l'assurance-accidents, à moins que la loi n'y déroge expressément.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Selon l’art. 38 al. 4 let. b LPGA, applicable via par renvoi de l’art. 60 al. 2 LPGA, les délais en jours ou en mois fixés par la loi ou par l’autorité ne courent pas du 15 juillet au 15 août inclusivement. Suite à la notification de la décision querellée du 24 juillet 2014, le délai de recours, de trente jours (art. 60 al. 1 LPGA), a commencé à courir le 16 août 2014. Posté le 26 août 2014, le recours a été interjeté en temps utile. Respectant également les formes prescrites par la loi, il est recevable (art. 56 à 61 LPGA).</w:t>
      </w:r>
    </w:p>
    <w:p>
      <w:r>
        <w:rPr>
          <w:b/>
        </w:rPr>
        <w:t>E. 4</w:t>
      </w:r>
    </w:p>
    <w:p>
      <w:r>
        <w:t>Est litigieuse en l’espèce la question de savoir si le recourant peut prétendre à des prestations de l’assurance-accidents au-delà du 6 mai 2013. Singulièrement, il s’agit de déterminer si les troubles présentés après cette date sont en lien de causalité avec l’événement assuré du 6 novembre 2012.</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7</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8</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9</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(RAMA 2001 n° U 438 p. 346 consid. 3d). Il en va de même si les rapports sur lesquels ladite expertise se fonde, permettent de retracer de manière exhaustive l’anamnèse, l’évolution du cas et le status actuel et que ces points sont incontestés. L’expert appelé à se déterminer sur la base du seul dossier doit être en mesure de se faire une représentation globale non lacunaire au moyen des pièces disponibles. En revanche, le fait que les conclusions d’un tel expert et celles d’autres médecins, dans les rapports médicaux examinés par celui-ci, divergent ne constitue pas en soi un indice en défaveur de la fiabilité des conclusions du premier. Une telle divergence conduit uniquement à se demander s’il est possible de trancher le litige en l’état ou s’il y a lieu d’ordonner des mesures d’instruction complémentaires (RAMA 1988 n° U 56 p. 366 consid. 5b et les références). La nécessité d’un examen personnel de l’assuré par l’expert ne passe au second plan que lorsqu’il s’agit, pour l’essentiel, de porter un jugement sur des éléments d’ordre médical déjà établis et que des investigations médicales nouvelles s’avèrent superflues. Dans ces circonstances, une expertise médicale établie uniquement sur la base d’un dossier peut effectivement se voir reconnaître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a.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le juge cantonal ordonne une expertise au besoin ne saurait en effet permettre à l’assureur de se soustraire à son obligation d’instruire (ATF 137 V 210 ; cf. notamment ATAS/588/2013 du 11 juin 2013 ; ATAS/454/2013 du 2 mai 2013 ; ATAS/139/2013 du 6 février 2013).</w:t>
      </w:r>
    </w:p>
    <w:p>
      <w:r>
        <w:rPr>
          <w:b/>
        </w:rPr>
        <w:t>E. 12</w:t>
      </w:r>
    </w:p>
    <w:p>
      <w:r>
        <w:t>a. En l’espèce, l’intimée considère que le statu quo sine a été atteint six mois après l’accident du 6 novembre 2012, soit le 6 mai 2013. Selon elle, les troubles qui subsistent à cette date ne sont plus dus à l’accident, mais exclusivement de nature maladive. À cet égard, elle se fonde sur les conclusions formulées le 25 mars 2014 par son médecin d’arrondissement, le Dr B______. Celui-ci indique – outre la date du statu quo sine évoquée – que le recourant a déjà annoncé plusieurs épisodes traumatiques par le passé – dont le cas du 6 novembre 2012 –, et précise, d’une part, que le genou gauche présentait déjà des lésions dégénératives qui ont motivé l’intervention du 20 février 2014 au genou gauche et, d’autre part, que la relation de causalité entre les troubles actuels au genou gauche et l’événement traumatique du 6 novembre 2012 est « au mieux possible ». Pour sa part, le recourant conteste que l’intervention du 20 février 2014, effectuée au CHUV, ait été motivée par les lésions dégénératives au genou gauche. Dans la mesure où les suites des deux entorses du genou droit – y compris l’intervention du 30 mai 2013 au genou droit – ont été prises en charge par l’intimée au titre de suites d’événements accidentels, il incombe à l’intimée d’en faire de même pour l’intervention qualifiée de « strictement identique » au genou gauche. b. À l’examen, la chambre de céans constate que l’appréciation du Dr B______ du 25 mars 2014 revêt un caractère très succinct. Bien que ce médecin reconnaisse le caractère traumatique de l’événement du 6 novembre 2012 sur fond d’arthrose du genou gauche, il fait en revanche l’économie de préciser l’impact que cet accident a eu sur l’état maladif qu’il qualifie de préexistant. Il ne motive pas non plus la date du statu quo sine qu’il fixe au 6 mai 2013, et n’étaye pas ses conclusions au moyen des faits qu’il résume dans l’anamnèse, laissant au lecteur le soin de supputer sur quels éléments précis il se fonde. Dans le cadre de cet exercice, l’intimée y voit une référence au rapport des médecins de la CRR du 12 mars 2013. Elle se garde toutefois de mettre en exergue les points saillants du rapport en question. Il y est en effet précisé que plusieurs accidents en 2012 ont déstabilisé la situation clinique (pièce 1 p. 5 recourant), que « la situation n’est pas stabilisée du point de vue médical », le contraire n’étant admis que si l’indication opératoire n’est pas retenue par le chirurgien traitant (p. 4). Compte tenu des interventions médicales effectuées au genou droit le 30 mai 2013 et au genou gauche le 20 février 2014, cette indication opératoire a apparemment été retenue, mais l’intimée n’a accepté de prendre en charge que l’intervention du 30 mai 2013, soit vingt, respectivement huit mois après les entorses au genou droit de septembre 2011 et septembre 2012, ce dans un contexte de « gonarthrose FT interne bilatérale déjà évoluée » (pièce 1 p. 5 recourant), touchant ainsi à la fois le genou droit et le genou gauche. On peut certes objecter que ce n’est pas parce que l’état de santé ne serait pas stabilisé avant les interventions chirurgicales – préavisées favorablement – aux deux genoux que les troubles motivant ces interventions présenteraient nécessairement, à gauche comme à droite, un lien de causalité naturelle probable avec les entorses subies. Toutefois, le médecin d’arrondissement ne se prononce pas sur ce point essentiel, pas plus qu’il ne motive le lien de causalité seulement « possible » qu’il retient entre l’événement du 6 novembre 2012 et les « troubles actuels » du genou gauche. Étant donné que le recourant s’est étonné de manière légitime, déjà au stade de la procédure d’opposition, de la différence de prise en charge entre le genou droit et le genou gauche, malgré d’apparentes similitudes concernant à la fois la nature du traumatisme – entorses – et ses conséquences (cf. notamment les pièces 2 et 3 recourant) et que l’intimée a de surcroît interpellé son médecin d’arrondissement à ce sujet, l’absence complète de motivation que comporte la réponse donnée par ce dernier – «  pas de modification de l’appréciation » – n’en est que plus critiquable. Ainsi, la fixation du statu quo sine six mois après l’événement du 6 novembre 2012 n’apparaît pas du tout convaincante, que ce soit en considérant cette conclusion isolément ou en la mettant en perspective avec la situation similaire de l’autre genou. L’intimée tente certes de pallier l’absence de motivation de son médecin d’arrondissement en invoquant une prise en charge « par erreur » de l’intervention au genou droit. Cela étant, cette dernière explication est d’autant moins de nature à modifier l’appréciation de la chambre de céans que l’erreur alléguée n’est pas médicalement étayée par une appréciation plus restrictive du statu quo sine que celle qui a présidé à la prise en charge de l’intervention au genou droit le 30 mai 2013, mais découle d’une déduction pour le moins hasardeuse tirée d’un pronostic défavorable de réinsertion dans l’ancienne activité émis par les médecins de la CRR dans leur rapport du 12 mars 2013, en raison de facteurs médicaux sans lien avec l’accident et de facteurs non médicaux (pièce 1 p. 4 et 5 recourant). En effet, le pronostic des médecins de la CRR ne renseigne pas de manière fiable sur la persistance de troubles d’origine traumatique en tant que tels et leur lien de causalité avec les événements accidentels de 2011 et 2012, en particulier du 6 novembre 2012. c. Au regard de l’ensemble de ces éléments, la valeur probante de l’appréciation du Dr B______ du 25 mars 2014 et de ses compléments non motivés des 12 mai et 18 juillet 2014 doit être niée. Quant au rapport de la CRR du 12 mars 2013, il comporte certes une évaluation pluridisciplinaire globale dans les suites de plusieurs accidents touchant les chevilles et les genoux. Toutefois, on l’a vu, il ne se prononce pas – ne serait-ce qu’indirectement – sur les questions litigieuses, de sorte qu’on ne saurait lui reconnaître de valeur probante dans le présent contexte. Ce constat vaut a fortiori pour les autres rapports médicaux versés au dossier, qui rendent compte principalement des opérations effectuées aux deux genoux et de leurs suites. Dans ces circonstances, la chambre de céans n’est pas en mesure de se prononcer sur l’existence d’un lien de causalité entre l’accident du 6 novembre 2012 et les atteintes au genou gauche du recourant, en particulier sur la date d’un éventuel statu quo sine . Force est donc de constater que l’intimée a établi les faits de manière sommaire et incomplète, sur la base des appréciations peu, voire pas motivées du Dr B______, qui s’avèrent dépourvues de valeur probante. En pareil cas, il n’appartient par à la chambre de céans de suppléer aux carences de l’instruction de l’intimée. En conséquence, le dossier lui sera renvoyé pour instruction complémentaire sur le lien de causalité entre l’accident du 6 novembre 2012 et les troubles du genou gauche du recourant, en particulier sur la date de survenance d’un éventuel statu quo sine . Cette instruction sera mise en œuvre par une expertise orthopédique confiée à une expert indépendant, selon la procédure prévue à l’art. 44 LPGA.</w:t>
      </w:r>
    </w:p>
    <w:p>
      <w:r>
        <w:rPr>
          <w:b/>
        </w:rPr>
        <w:t>E. 13</w:t>
      </w:r>
    </w:p>
    <w:p>
      <w:r>
        <w:t>Compte tenu de ce qui précède, le recours sera partiellement admis, en ce sens que la décision du 24 juillet 2014 sera annulée et le dossier renvoyé à l’intimée pour instruction complémentaire et nouvelle décision, dans le sens des considérants. Représenté par un mandataire et obtenant gain de cause, le recourant a droit à une indemnité, qui sera fixée à CHF 1'000.-, à titre de participation à ses frais et dépens (art. 61 let. g LPGA ; art. 89H de la loi sur la procédure administrative du 12 septembre 1985 – LPA, E 5 10 ; art. 6 du règlement sur les frais, émoluments et indemnités en procédure administrative du 30 juillet 1986 – RFPA, E 5 10.03). Pour le surplus, la procédure est gratuite (art. 61 let. a LPGA). * * * * *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