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A/2506/2019 vom 18. November 2021</w:t>
      </w:r>
    </w:p>
    <w:p>
      <w:r>
        <w:t>GE Cour de justice, 2021-11-18, FR</w:t>
      </w:r>
    </w:p>
    <w:p>
      <w:r>
        <w:rPr>
          <w:b/>
        </w:rPr>
        <w:t xml:space="preserve">Quelle: </w:t>
      </w:r>
      <w:r>
        <w:t>https://mcp.opencaselaw.ch/entscheid/ge_gerichte_A_2506_2019</w:t>
      </w:r>
    </w:p>
    <w:p>
      <w:r>
        <w:t>FR: GE_GERICHTE A/2506/2019 du 18 novembre 2021</w:t>
      </w:r>
    </w:p>
    <w:p>
      <w:r>
        <w:t>IT: GE_GERICHTE A/2506/2019 del 18 novembre 2021</w:t>
      </w:r>
    </w:p>
    <w:p>
      <w:pPr>
        <w:pStyle w:val="Heading2"/>
      </w:pPr>
      <w:r>
        <w:t>Erwägungen</w:t>
      </w:r>
    </w:p>
    <w:p>
      <w:r>
        <w:rPr>
          <w:b/>
        </w:rPr>
        <w:t>E. 5</w:t>
      </w:r>
    </w:p>
    <w:p>
      <w:r>
        <w:t>Pour constater l'existence d'une atteinte à la santé en lien avec l'exercice d'une activité professionnelle, le juge doit se fonder sur des rapports médicaux auxquels on peut attribuer un caractère probant suffisant selon la jurisprudence. L'élément déterminant pour la valeur probante d'un rapport médical n'est ni son origine, ni sa désignation comme rapport ou comme expertise, mais bien son contenu. À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Tribunal fédéral 8C_800/2019 du 18 novembre 2020 consid. 3.2 et 3.2.1).</w:t>
      </w:r>
    </w:p>
    <w:p>
      <w:r>
        <w:rPr>
          <w:b/>
        </w:rPr>
        <w:t>E. 5.1</w:t>
      </w:r>
    </w:p>
    <w:p>
      <w:r>
        <w:t>Les atteintes constatées sont-elles, au moins au degré de la vraisemblance prépondérante, imputables exclusivement ou de manière prépondérante (soit plus de 50% de l’ensemble des causes) à des substances figurant sous ch. 1 de l’annexe 1 de l’OLAA (plus spécifiquement le toluène) ?</w:t>
      </w:r>
    </w:p>
    <w:p>
      <w:r>
        <w:rPr>
          <w:b/>
        </w:rPr>
        <w:t>E. 5.1.1</w:t>
      </w:r>
    </w:p>
    <w:p>
      <w:r>
        <w:t>Veuillez motiver votre réponse pour chaque diagnostic posé</w:t>
      </w:r>
    </w:p>
    <w:p>
      <w:r>
        <w:rPr>
          <w:b/>
        </w:rPr>
        <w:t>E. 5.2</w:t>
      </w:r>
    </w:p>
    <w:p>
      <w:r>
        <w:t>L’exposition aux substances nocives a-t-elle conduit à ce qu’une maladie professionnelle se déclare ?</w:t>
      </w:r>
    </w:p>
    <w:p>
      <w:r>
        <w:rPr>
          <w:b/>
        </w:rPr>
        <w:t>E. 5.2.1</w:t>
      </w:r>
    </w:p>
    <w:p>
      <w:r>
        <w:t>Si oui, à partir de quel moment cette maladie professionnelle s’est-elle déclarée ?</w:t>
      </w:r>
    </w:p>
    <w:p>
      <w:r>
        <w:rPr>
          <w:b/>
        </w:rPr>
        <w:t>E. 5.3</w:t>
      </w:r>
    </w:p>
    <w:p>
      <w:r>
        <w:t>Des maladies préexistantes ont-elles, au moins au degré de la vraisemblance prépondérante, été aggravées exclusivement ou de manière prépondérante (soit plus de 50% de l’ensemble des causes) par des substances figurant sous ch. 1 de l’annexe 1 de l’OLAA (plus spécifiquement le toluène) ?</w:t>
      </w:r>
    </w:p>
    <w:p>
      <w:r>
        <w:rPr>
          <w:b/>
        </w:rPr>
        <w:t>E. 5.3.1</w:t>
      </w:r>
    </w:p>
    <w:p>
      <w:r>
        <w:t>Si oui, à partir de quel moment le statu quo sine a-t-il été atteint (moment où l’état de santé de la personne expertisée est similaire à celui qui serait survenu tôt ou tard, même sans l’exposition aux substances nocives par suite d’un développement ordinaire) ? 6. Limitations fonctionnelles</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6.1</w:t>
      </w:r>
    </w:p>
    <w:p>
      <w:r>
        <w:t>Indiquer les limitations fonctionnelles en relation avec chaque diagnostic</w:t>
      </w:r>
    </w:p>
    <w:p>
      <w:r>
        <w:rPr>
          <w:b/>
        </w:rPr>
        <w:t>E. 6.1.1</w:t>
      </w:r>
    </w:p>
    <w:p>
      <w:r>
        <w:t>Dates d'apparition 7. Capacité de travail</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(ATF 125 V 351 consid. 3b).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7.1</w:t>
      </w:r>
    </w:p>
    <w:p>
      <w:r>
        <w:t>Quelle est la capacité de travail de la personne expertisée dans son activité habituelle, compte tenu des seules atteintes en rapport de causalité (au moins probable - probabilité de plus de 50 %) avec le moment où la maladie professionnelle (cas échéant) s’est déclarée et comment cette capacité de travail a-t-elle évolué depuis la déclaration de la maladie professionnelle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le moment où la maladie professionnelle (cas échéant) s’est déclarée?</w:t>
      </w:r>
    </w:p>
    <w:p>
      <w:r>
        <w:rPr>
          <w:b/>
        </w:rPr>
        <w:t>E. 7.2.1</w:t>
      </w:r>
    </w:p>
    <w:p>
      <w:r>
        <w:t>Si cette capacité de travail est seulement partielle, quelles sont les limitations fonctionnelles qui entrent en ligne de compte ? Depuis quelle date sont-elles présentes ? 8. Traitement</w:t>
      </w:r>
    </w:p>
    <w:p>
      <w:r>
        <w:rPr>
          <w:b/>
        </w:rPr>
        <w:t>E. 8</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Atteinte à l’intégrité</w:t>
      </w:r>
    </w:p>
    <w:p>
      <w:r>
        <w:rPr>
          <w:b/>
        </w:rPr>
        <w:t>E. 9</w:t>
      </w:r>
    </w:p>
    <w:p>
      <w:r>
        <w:t>En l’espèce, comme cela ressort des PV de comparution personnelle et de témoignage de l’audience du 17 septembre 2020, la Dresse N______ s’est fondée sur un état de fait incomplet, voire partiellement erroné. Elle a postulé que l’assuré avait reçu une projection légère de liquide au visage, alors que les dépositions font apparaître qu’il s’agissait d’un nuage gazeux comprenant des éléments liquides qui s’échappaient de la cuve de la distilleuse chaque fois que l’on ouvrait cette dernière. Elle a considéré, dans son rapport, cette hypothèse comme impossible, en raison de la sécurité dont était muni la cuve, afin d’éviter une ouverture avant que la pression se soit équilibrée. De surcroît, la Dresse N______ s’est fondée sur des hypothèses de travail en plein air avec port du masque en caoutchouc, muni de cartouches changées régulièrement, alors que les dépositions ont permis d’établir qu’une partie du travail était effectuée dans des parkings souterrains, ce qui ne permettait pas de conclure à une évaporation aussi rapide qu’en plein air. D’autre part, les ouvriers manipulant les solvants ne portaient pas de masque en caoutchouc, mais de simples masques anti-poussières. S’y ajoute encore le choix discutable de se dispenser de l’audition de l’assuré et de se fonder uniquement sur les documents écrits, alors même que le SR de la SUVA avait relevé des contradictions et avait fortement conseillé d’avoir un entretien avec l’assuré, afin de clarifier certains points. Compte tenu de ce qui précède, la chambre de céans ne peut que constater que l’instruction complémentaire menée par la SUVA n’a pas permis de répondre au réquisit figurant dans l’arrêt du 19 octobre 2017, ch. 4 du dispositif, les investigations étant incomplètes et partiellement fondées sur des faits erronés et ne permettant pas d’établir ou d’écarter l’existence d’une maladie professionnelle due à l’exposition à des substances nocives.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et doit procéder à des investigations supplémentaires ou en ordonner lorsqu'il y a suffisamment de raisons pour le faire, eu égard aux griefs invoqués par les parties ou aux indices résultant du dossier. En particulier, lorsqu'il constate qu'une instruction est nécessaire, il doit en principe mettre lui-même en œuvre une expertise (ATF 137 V 210 consid. 4.4.1.3 et 4.4.1.4). Les coûts de l'expertise peuvent être mis à la charge de l'assureur social (ATF 137 V 210 consid. 4.4.2).</w:t>
      </w:r>
    </w:p>
    <w:p>
      <w:r>
        <w:rPr>
          <w:b/>
        </w:rPr>
        <w:t>E. 9.1</w:t>
      </w:r>
    </w:p>
    <w:p>
      <w:r>
        <w:t>La personne expertisée présente-t-elle une atteinte à l’intégrité définitive, en lien avec les atteintes en rapport de causalité au moins probable (probabilité de plus de 50%) avec la déclaration de la maladie professionnelle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les substances nocives doivent être incluses dans le calcul du taux de l’indemnité.</w:t>
      </w:r>
    </w:p>
    <w:p>
      <w:r>
        <w:rPr>
          <w:b/>
        </w:rPr>
        <w:t>E. 10</w:t>
      </w:r>
    </w:p>
    <w:p>
      <w:r>
        <w:t>Appréciation d'avis médicaux du dossier</w:t>
      </w:r>
    </w:p>
    <w:p>
      <w:r>
        <w:rPr>
          <w:b/>
        </w:rPr>
        <w:t>E. 10.1</w:t>
      </w:r>
    </w:p>
    <w:p>
      <w:r>
        <w:t>Êtes-vous d'accord avec l'avis de la Dresse N______ ? En particulier avec les diagnostics posés ? Si non, pourquoi ?</w:t>
      </w:r>
    </w:p>
    <w:p>
      <w:r>
        <w:rPr>
          <w:b/>
        </w:rPr>
        <w:t>E. 11</w:t>
      </w:r>
    </w:p>
    <w:p>
      <w:r>
        <w:t>Autres facteurs Suite à la déclaration de la maladie professionnelle (cas échéant) :</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du traitement? Si oui, lesquelles et avec quelles conséquences ?</w:t>
      </w:r>
    </w:p>
    <w:p>
      <w:r>
        <w:rPr>
          <w:b/>
        </w:rPr>
        <w:t>E. 11.6</w:t>
      </w:r>
    </w:p>
    <w:p>
      <w:r>
        <w:t>Existe-t-il des douleurs physiques ou des séquelles neurologiques persistantes ? Cas échant depuis quand ? Atteignent-elles une intensité particulière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E. Invite les experts à faire une appréciation consensuelle du cas s’agissant de toutes les problématiques ayant des interférences entre-elles, notamment l’appréciation de la capacité de travail résiduelle puis à déposer leur rapport en trois exemplaires dans les meilleurs délais auprès de la chambre de céans. F. Réserve le fond ainsi que le sort des frais jusqu’à droit jugé au fond. La greffière Nathalie LOCHER Le président Philippe KNUPFER Une copie conforme du présent arrêt est notifiée aux parties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