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A/2502/2023 vom 25. August 2023</w:t>
      </w:r>
    </w:p>
    <w:p>
      <w:r>
        <w:t>GE Cour de justice, 2023-08-25, FR</w:t>
      </w:r>
    </w:p>
    <w:p>
      <w:r>
        <w:rPr>
          <w:b/>
        </w:rPr>
        <w:t xml:space="preserve">Quelle: </w:t>
      </w:r>
      <w:r>
        <w:t>https://mcp.opencaselaw.ch/entscheid/ge_gerichte_A_2502_2023</w:t>
      </w:r>
    </w:p>
    <w:p>
      <w:r>
        <w:t>FR: GE_GERICHTE A/2502/2023 du 25 août 2023</w:t>
      </w:r>
    </w:p>
    <w:p>
      <w:r>
        <w:t>IT: GE_GERICHTE A/2502/2023 del 25 agosto 2023</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Selon l'art. 10 al. 2 de la loi d'application de la loi fédérale sur les étrangers du 16 juin 1988 (LaLEtr - F 2 10), la chambre administrative doit statuer dans les 10 jours qui suivent sa saisine. Ayant reçu le recours le 17 août 2023 et statuant ce jour, elle respecte ce délai.</w:t>
      </w:r>
    </w:p>
    <w:p>
      <w:r>
        <w:rPr>
          <w:b/>
        </w:rPr>
        <w:t>E. 2</w:t>
      </w:r>
    </w:p>
    <w:p>
      <w:r>
        <w:t>Est litigieuse l’assignation du recourant à la commune de Vernier pendant 24 mois.![endif]&gt;![if&gt;</w:t>
      </w:r>
    </w:p>
    <w:p>
      <w:r>
        <w:rPr>
          <w:b/>
        </w:rPr>
        <w:t>E. 2.1</w:t>
      </w:r>
    </w:p>
    <w:p>
      <w:r>
        <w:t>Selon l'art. 74 al. 1 let. b LEI, l'autorité cantonale compétente peut enjoindre à un étranger de ne pas quitter le territoire qui lui est assigné ou de ne pas pénétrer dans une région déterminée lorsque l'étranger est frappé d'une décision de renvoi ou d'expulsion entrée en force et que des éléments concrets font redouter qu'il ne quittera pas la Suisse dans le délai prescrit ou qu'il n'a pas respecté le délai qui lui était imparti pour quitter le territoire (ATF 144 II 16 consid. 2.1). ![endif]&gt;![if&gt; L'assignation d'un lieu de résidence ou l'interdiction de pénétrer dans une région déterminée fondée sur l'art. 74 al. 1 let. b LEI vise à permettre le contrôle du lieu de séjour de l'intéressé et à s'assurer de sa disponibilité éventuelle pour la préparation et l'exécution de son renvoi de Suisse par les autorités (arrêt 2C_1044/2012 du 5 novembre 2012 consid. 3.1), mais aussi, en tant que mesure de contrainte poursuivant les mêmes buts que la détention administrative, à inciter la personne à se conformer à son obligation de quitter la Suisse (ATF 144 II 16 consid. 4 ; arrêt 2C_828/2017 du 14 juin 2018 consid. 4.1; CHATTON/MERZ, in Code annoté de droit des migrations, vol. II: Loi sur les étrangers [LEtr], 2017 n°  22 ad art. 74 LEtr). Pour qu'une telle assignation soit prononcée, il faut que l'étranger soit frappé d'une décision de renvoi ou d'expulsion, que cette décision soit entrée en force et que des éléments concrets fassent craindre que l'étranger ne quittera pas la Suisse dans le délai prescrit ou qu'il soit constaté qu'il n'a d'ores et déjà pas respecté le délai qui lui était imparti pour quitter le territoire (CHATTON/MERZ, op. cit., n°  21 ad art. 74 LEtr ; ATF 144 II 16 consid. 3.1). La mesure doit en outre respecter le principe de la proportionnalité. Elle doit être apte à atteindre le but visé (ATF 144 II 16 consid. 2.2 ; 142 II 1 consid. 2.3), ce qui implique notamment qu'une mesure fondée sur l'art. 74 al. 1 let. b LEI ne peut être prononcée que si un départ de Suisse est effectivement possible, car elle ne peut atteindre son but que dans ce cas (ATF 144 II 16 consid. 2.3). Il suffit qu'un départ volontaire soit possible (ATF 144 II 16 consid. 4.6 et consid. 4.8). La mesure doit aussi ne pas aller au-delà de ce qui est nécessaire pour atteindre le but poursuivi et il doit exister un rapport raisonnable entre ce but et le moyen choisi (ATF 144 II 16 consid. 2.2 ; 142 II 1 consid. 2.3). L'art. 6 al. 3 LaLEtr prévoit que l'étranger peut être contraint à ne pas quitter un territoire assigné, aux conditions prévues à l'art. 74 LEI, notamment à la suite d’une condamnation pour vol, brigandage, dommage à la propriété ou pour une infraction à la LStup.</w:t>
      </w:r>
    </w:p>
    <w:p>
      <w:r>
        <w:rPr>
          <w:b/>
        </w:rPr>
        <w:t>E. 2.2</w:t>
      </w:r>
    </w:p>
    <w:p>
      <w:r>
        <w:t>En l'espèce, le recourant ne conteste à juste titre pas le principe de la mesure d'assignation. La première condition de l’art. 74 al. 1 let. b LEI est remplie, le recourant ayant fait l’objet d’une décision de renvoi entrée en force. Il n'a en outre pas respecté le délai qui lui était imparti pour quitter le territoire, de sorte que la seconde condition de l’art. 74 al. 1 LEI est remplie. ![endif]&gt;![if&gt; Le prononcé d’une mesure d’assignation en application de l’art. 74 LEI est en conséquence conforme au droit.</w:t>
      </w:r>
    </w:p>
    <w:p>
      <w:r>
        <w:rPr>
          <w:b/>
        </w:rPr>
        <w:t>E. 3</w:t>
      </w:r>
    </w:p>
    <w:p>
      <w:r>
        <w:t>Le recourant invoque une violation du principe de la proportionnalité et considère l’assignation inopportune.![endif]&gt;![if&gt; En l’espèce, la mesure vise à permettre le contrôle du lieu de séjour de l'intéressé et à s'assurer de sa disponibilité pour la préparation et l'exécution de son renvoi de Suisse par les autorités, conformément à la jurisprudence susmentionnée. Elle est en conséquence nécessaire. Elle est également apte à permettre de contrôler le lieu de séjour de l'intéressé et à s'assurer de sa disponibilité éventuelle pour la préparation et l'exécution dudit renvoi. Sous l'angle de la proportionnalité au sens étroit, force est de constater que l'intéressé est, depuis 2003, sous le coup d’une décision de renvoi entrée en force et qu'il séjourne depuis lors en Suisse de manière illégale, s’est systématiquement soustrait à aux tentatives d’exécution du renvoi et ne se soumet pas aux injonctions des autorités. Au vu de ce qui précède, il n’apparaît pas qu’une mesure moins incisive, tel que le seul contrôle hebdomadaire, ou même plus fréquent, au Vieil hôtel de police permettrait d'atteindre les buts visés par la mesure. Par ailleurs, le recourant a été assigné à résidence sur la commune de Vernier, qui dispose de parcs communaux, d'installations sportives, de diverses infrastructures sociales, de centres commerciaux et s’étend sur 7,68 km 2 . L'intéressé y jouit d'une liberté de mouvement totale, peut profiter de ces infrastructures et y entretenir des relations sociales. La mesure litigieuse ne s’oppose pas à l’octroi de sauf-conduits pour se rendre aux rendez-vous médicaux qui lui seraient donnés. La mesure ne fixe par ailleurs aucune limite aux visites qu’il pourrait recevoir, notamment de son fils, de son ex-épouse et de ses belles-filles, tous adultes et en capacité de pouvoir s’y déplacer, ni aux relations qu'il peut nouer à l'intérieur du périmètre qui lui a été assigné ou par d’autres moyens de communication. La mesure est d’autant plus proportionnée et opportune dans un contexte où les conditions de la détention administrative ont été confirmées à plusieurs reprises, y compris par le Tribunal fédéral, en dernier lieu il y moins d’un mois. Le recourant est donc particulièrement malvenu de suggérer aux autorités judiciaires et administratives de « prendre acte » de sa présence en Suisse depuis 20 ans, sans aucune autorisation et alors même qu’une mesure de renvoi est exécutoire depuis des années et n’a pas pu être exécuté uniquement en raison de son opposition obstinée, qui dénote tout le mépris qu’il a des institutions du pays dans lequel il prétend demeurer.</w:t>
      </w:r>
    </w:p>
    <w:p>
      <w:r>
        <w:rPr>
          <w:b/>
        </w:rPr>
        <w:t>E. 4</w:t>
      </w:r>
    </w:p>
    <w:p>
      <w:r>
        <w:t>Quant à la durée de 24 mois, celle-ci est certes longue mais elle prend en compte les circonstances particulières du cas d’espèce, telles que rappelées plus haut, y compris les précédentes interdictions d’entrées prononcées à l’encontre du recourant mais restées sans effet, si bien que le prononcé de cette mesure est acceptable.![endif]&gt;![if&gt; Il découle de ce qui précède que le recours, entièrement mal fondé, doit être rejeté.</w:t>
      </w:r>
    </w:p>
    <w:p>
      <w:r>
        <w:rPr>
          <w:b/>
        </w:rPr>
        <w:t>E. 5</w:t>
      </w:r>
    </w:p>
    <w:p>
      <w:r>
        <w:t>La procédure étant gratuite (art. 12 al. 1 du règlement sur les frais, émoluments et indemnités en procédure administrative du 30 juillet 1986 - RFPA - E 5 10.03), aucun émolument de procédure ne sera perçu (art. 87 al. 1 LPA). Vu l’issue du litige,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