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A/24/2005 vom 25. April 2005</w:t>
      </w:r>
    </w:p>
    <w:p>
      <w:r>
        <w:t>GE Cour de justice, 2005-04-25, FR</w:t>
      </w:r>
    </w:p>
    <w:p>
      <w:r>
        <w:rPr>
          <w:b/>
        </w:rPr>
        <w:t xml:space="preserve">Quelle: </w:t>
      </w:r>
      <w:r>
        <w:t>https://mcp.opencaselaw.ch/entscheid/ge_gerichte_A_24_2005</w:t>
      </w:r>
    </w:p>
    <w:p>
      <w:r>
        <w:t>FR: GE_GERICHTE A/24/2005 du 25 avril 2005</w:t>
      </w:r>
    </w:p>
    <w:p>
      <w:r>
        <w:t>IT: GE_GERICHTE A/24/2005 del 25 aprile 2005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25.04.2005 A/24/2005</w:t>
      </w:r>
    </w:p>
    <w:p>
      <w:r>
        <w:t>A/24/2005 ATAS/352/2005 du 25.04.2005 ( PC ) , SANS OBJET RÉPUBLIQUE ET CANTON DE GENÈVE POUVOIR JUDICIAIRE A/24/2005 ATAS/352/2005 ARRET DU TRIBUNAL CANTONAL DES ASSURANCES SOCIALES 6 ème Chambre du 25 avril 2005 En la cause Madame Q__________ recourante contre OFFICE CANTONAL DES PERSONNES ÂGEES, route de Chêne 54, Genève intimé Vu le recours de Mme Q__________ du 30 décembre 2004 dirigé contre deux décisions de l’Office cantonal des personnes âgées (ci-après : l’OCPA) du 30 janvier 2004 ; Vu la réponse de l’OCPA du 4 février 2005 ; Vu le courrier de la recourante du 7 avril 2005 selon lequel son recours devenait sans objet à la suite de la décision du service de l’assurance-maladie du 23 mars 2005 de lui attribuer à nouveau des subsides du 1 er décembre 2003 au 31 décembre 2004 et de la décision de l’OCPA de la « rétablir dans ses droits » ; Attendu qu’il convient en conséquence de déclarer le recours sans objet et de rayer la cause du rôle ; PAR CES MOTIFS, LE TRIBUNAL CANTONAL DES ASSURANCES SOCIALES Statuant (conformément à la disposition transitoire de l’art. 162 LOJ) Déclare le recours sans objet ; Raye la cause du rôle ; Dit que la procédure est gratuite. La greffière : Nancy BISIN La Présidente : Valérie MONTANI Une copie conforme du présent arrêt est notifiée aux parties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