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A/248/2022 vom 29. September 2022</w:t>
      </w:r>
    </w:p>
    <w:p>
      <w:r>
        <w:t>GE Cour de justice, 2022-09-29, FR</w:t>
      </w:r>
    </w:p>
    <w:p>
      <w:r>
        <w:rPr>
          <w:b/>
        </w:rPr>
        <w:t xml:space="preserve">Quelle: </w:t>
      </w:r>
      <w:r>
        <w:t>https://mcp.opencaselaw.ch/entscheid/ge_gerichte_A_248_2022</w:t>
      </w:r>
    </w:p>
    <w:p>
      <w:r>
        <w:t>FR: GE_GERICHTE A/248/2022 du 29 septembre 2022</w:t>
      </w:r>
    </w:p>
    <w:p>
      <w:r>
        <w:t>IT: GE_GERICHTE A/248/2022 del 29 settembre 2022</w:t>
      </w:r>
    </w:p>
    <w:p>
      <w:pPr>
        <w:pStyle w:val="Heading2"/>
      </w:pPr>
      <w:r>
        <w:t>Erwägungen</w:t>
      </w:r>
    </w:p>
    <w:p>
      <w:r>
        <w:rPr>
          <w:b/>
        </w:rPr>
        <w:t>E. 5</w:t>
      </w:r>
    </w:p>
    <w:p>
      <w:r>
        <w:t>Le délai de recours est de trente jours (art. 56 et 60 LPGA ; art. 62 al. 1 let. a de la de loi sur la procédure administrative du 12 septembre 1985 [LPA - E 5 10]). ![endif]&gt;![if&gt;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6</w:t>
      </w:r>
    </w:p>
    <w:p>
      <w:r>
        <w:t>Le litige porte, d'une part, sur l'étendue du supplément pour soins intenses (qui devrait être porté à six heures selon la recourante – au lieu de quatre heures au moins d'après l'intimé), singulièrement sur le point de savoir si celle-ci a besoin d'une surveillance « particulièrement intense », et, d'autre part, sur la date à compter de laquelle elle a droit à l'allocation d'impotence de degré grave accompagnée d'un supplément pour soins intenses.![endif]&gt;![if&gt;</w:t>
      </w:r>
    </w:p>
    <w:p>
      <w:r>
        <w:rPr>
          <w:b/>
        </w:rPr>
        <w:t>E. 7</w:t>
      </w:r>
    </w:p>
    <w:p>
      <w:r>
        <w:t>Selon l’art. 42 al. 1 1 ère phrase LAI, les assurés impotents (art. 9 LPGA) qui ont leur domicile et leur résidence habituelle (art. 13 LPGA) en Suisse ont droit à une allocation pour impotent. ![endif]&gt;![if&gt;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w:t>
      </w:r>
    </w:p>
    <w:p>
      <w:r>
        <w:rPr>
          <w:b/>
        </w:rPr>
        <w:t>E. 8</w:t>
      </w:r>
    </w:p>
    <w:p>
      <w:r>
        <w:t>La loi distingue trois degrés d’impotence: grave, moyen ou faible (art. 42 al. 2 LAI).![endif]&gt;![if&gt;</w:t>
      </w:r>
    </w:p>
    <w:p>
      <w:r>
        <w:rPr>
          <w:b/>
        </w:rPr>
        <w:t>E. 8.1</w:t>
      </w:r>
    </w:p>
    <w:p>
      <w:r>
        <w:t>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référence).![endif]&gt;![if&gt;</w:t>
      </w:r>
    </w:p>
    <w:p>
      <w:r>
        <w:rPr>
          <w:b/>
        </w:rPr>
        <w:t>E. 8.2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![endif]&gt;![if&gt;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8.3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références).![endif]&gt;![if&gt;</w:t>
      </w:r>
    </w:p>
    <w:p>
      <w:r>
        <w:rPr>
          <w:b/>
        </w:rPr>
        <w:t>E. 9</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![endif]&gt;![if&gt;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[OFAS], dans sa version valable dès le 1 er janvier 2015 [état au 1 er janvier 2021 ; CIIAI], ch. 8088).</w:t>
      </w:r>
    </w:p>
    <w:p>
      <w:r>
        <w:rPr>
          <w:b/>
        </w:rPr>
        <w:t>E. 10</w:t>
      </w:r>
    </w:p>
    <w:p>
      <w:r>
        <w:t>En vertu de l’art. 42 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de vieillesse au sens de l’art. 34 al. 3 et 5 de la loi fédérale sur l'assurance-vieillesse et survivants du 20 décembre 1946 (LAVS - RS 831.10), lorsque le besoin de soins découlant de l’invalidité est de 8 heures par jour au moins, à 70 % de ce montant maximum lorsque le besoin est de 6 heures par jour au moins, et à 40 % de ce montant maximum lorsque le besoin est de 4 heures par jour au moins. Le supplément est calculé par jour. Le Conseil fédéral règle les modalités.![endif]&gt;![if&gt;</w:t>
      </w:r>
    </w:p>
    <w:p>
      <w:r>
        <w:rPr>
          <w:b/>
        </w:rPr>
        <w:t>E. 10.1</w:t>
      </w:r>
    </w:p>
    <w:p>
      <w:r>
        <w:t>Faisant usage de cette délégation de compétence, le gouvernement fédéral a notamment édicté l'art. 39 RAI qui dispose que, sont réputés soins intenses chez les mineurs,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3).![endif]&gt;![if&gt;</w:t>
      </w:r>
    </w:p>
    <w:p>
      <w:r>
        <w:rPr>
          <w:b/>
        </w:rPr>
        <w:t>E. 10.2</w:t>
      </w:r>
    </w:p>
    <w:p>
      <w:r>
        <w:t>Le supplément pour soins intenses n’est pas une prestation indépendante, il implique la préexistence d’une allocation pour impotent (arrêt du Tribunal fédéral 9C_350/2014 du 11 septembre 2014 consid. 4.2.1 et la référence).![endif]&gt;![if&gt;</w:t>
      </w:r>
    </w:p>
    <w:p>
      <w:r>
        <w:rPr>
          <w:b/>
        </w:rPr>
        <w:t>E. 10.3</w:t>
      </w:r>
    </w:p>
    <w:p>
      <w:r>
        <w:t>Un supplément pour soins intenses peut donc être ajouté à l’allocation pour impotent lorsque celle-ci est servie à un mineur qui a en outre besoin d’un surcroît de soins dont l’accomplissement atteint le seuil minimum quotidien de quatre heures (cf. art. 42 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 ère phrase RAI ; arrêt du Tribunal fédéral 9C_350/2014 du 11 septembre 2014 consid. 4.2.3 et la référence). ![endif]&gt;![if&gt;</w:t>
      </w:r>
    </w:p>
    <w:p>
      <w:r>
        <w:rPr>
          <w:b/>
        </w:rPr>
        <w:t>E. 10.4</w:t>
      </w:r>
    </w:p>
    <w:p>
      <w:r>
        <w:t>La notion de « soins intenses » de l’art. 42 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 d’épilepsie) soit en raison d'un handicap mental particulier ou en cas d’autisme (arrêt du Tribunal fédéral 9C_350/2014 du 11 septembre 2014 consid. 6.2 et la référence). ![endif]&gt;![if&gt;</w:t>
      </w:r>
    </w:p>
    <w:p>
      <w:r>
        <w:rPr>
          <w:b/>
        </w:rPr>
        <w:t>E. 10.5</w:t>
      </w:r>
    </w:p>
    <w:p>
      <w:r>
        <w:t>Pour la détermination des besoins en soins intenses, les organes de l'AI disposent d'un large pouvoir d'appréciation pour autant que les faits aient été élucidés de manière satisfaisante (arrêt du Tribunal fédéral des assurances I.684/05 du 19 décembre 2006 consid. 1.3).![endif]&gt;![if&gt;</w:t>
      </w:r>
    </w:p>
    <w:p>
      <w:r>
        <w:rPr>
          <w:b/>
        </w:rPr>
        <w:t>E. 10.6</w:t>
      </w:r>
    </w:p>
    <w:p>
      <w:r>
        <w:t>Le Conseil fédéral a souligné au sujet de l'art. 39 al. 3 RAI que lorsque l'enfant nécessite non seulement un soutien infirmier pendant certaines heures par jour, mais aussi une surveillance 24 heures sur 24 à cause de son invalidité, soit pour des raisons médicales (par exemple risque de crises d'épilepsie), soit en raison d'un handicap mental spécifique ou en cas d'autisme, cette situation extrêmement pénible pour les parents doit être prise en compte pour le calcul du supplément pour soins intenses. Il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336).![endif]&gt;![if&gt;</w:t>
      </w:r>
    </w:p>
    <w:p>
      <w:r>
        <w:rPr>
          <w:b/>
        </w:rPr>
        <w:t>E. 10.6.1</w:t>
      </w:r>
    </w:p>
    <w:p>
      <w:r>
        <w:t>Selon le chiffre 8079 de la CIIAI,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intense.![endif]&gt;![if&gt; À titre d'illustration, la CIIAI cite le cas d'un enfant qui ne reconnaît pas les dangers;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CIIAI précitée précise à son chiffre 8079.1 que le surcroît de temps de 120 minutes en cas de surveillance ou de 240 minutes en cas de surveillance particulièrement intense liée à l'atteinte à la sante (art. 39 al. 3 RAI) correspond à des forfaits et non au surcroît de temps effectif. Ces durées servent uniquement au calcul du droit au supplément pour soins intenses.</w:t>
      </w:r>
    </w:p>
    <w:p>
      <w:r>
        <w:rPr>
          <w:b/>
        </w:rPr>
        <w:t>E. 10.6.2</w:t>
      </w:r>
    </w:p>
    <w:p>
      <w:r>
        <w:t>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(VALTERIO, op. cit., n. 10 ad art. 42 ter LAI).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I.67/05 du 6 octobre 2005 consid 4.2). Le Tribunal fédéral a cependant précisé que le seul diagnostic d'autisme, qui couvre un large spectre, ne suffisait pas à admettre un cas de surveillance particulièrement intense (arrêt du Tribunal fédéral des assurances I.49/07 du 10 janvier 2008 consid. 5.2).![endif]&gt;![if&gt; À titre d'exemples, le Tribunal fédéral a considéré qu'une enfant qui n'a plus eu de crises d'épilepsie, mais qui doit continuer à prendre des médicaments, et qui peut se rendre seule sur la place de jeu du quartier, n'a pas besoin d'une surveillance particulièrement intensive (arrêt I.386/06 du 1 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I.49/07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I.67/05 du 6 octobre 2005 consid. 4.2). Il a confirmé que le besoin de surveillance était particulièrement intense dans le cas d'un assuré atteint de déficience mentale et intellectuelle, d'épilepsie congénitale et d'infirmité motrice cérébrale ataxique (arrêt I.630/05 du 24 mai 2006).</w:t>
      </w:r>
    </w:p>
    <w:p>
      <w:r>
        <w:rPr>
          <w:b/>
        </w:rPr>
        <w:t>E. 10.7</w:t>
      </w:r>
    </w:p>
    <w:p>
      <w:r>
        <w:t>Le Tribunal fédéral a précisé que seul un poids minimal sera accordé à la surveillance personnelle dans les cas d'impotence grave (arrêt 9C_457/2015 du 21 octobre 2015 consid. 2.1 et les références citées; arrêt du Tribunal fédéral des assurances I.567/06 du 5 mars 2007 consid. 4). Par définition, l'impotence grave présuppose en effet que l'assuré dépend régulièrement de l'aide d'autrui pour l'accomplissement de tous les actes ordinaires de la vie (ch. 8037 CIIAI renvoyant à l'ATF 106 V 153 ).![endif]&gt;![if&gt;</w:t>
      </w:r>
    </w:p>
    <w:p>
      <w:r>
        <w:rPr>
          <w:b/>
        </w:rPr>
        <w:t>E. 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12</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6.1.2).![endif]&gt;![if&gt;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w:t>
      </w:r>
    </w:p>
    <w:p>
      <w:r>
        <w:rPr>
          <w:b/>
        </w:rPr>
        <w:t>E. 13</w:t>
      </w:r>
    </w:p>
    <w:p>
      <w:r>
        <w:t>Selon l'art. 17 LPGA (dans sa teneur en vigueur jusqu'au 31 décembre 2021),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2).![endif]&gt;![if&gt;</w:t>
      </w:r>
    </w:p>
    <w:p>
      <w:r>
        <w:rPr>
          <w:b/>
        </w:rPr>
        <w:t>E. 13.1</w:t>
      </w:r>
    </w:p>
    <w:p>
      <w:r>
        <w:t>À l’instar de ce qui vaut pour toutes les prestations durables accordées en vertu d’une décision entrée en force, si l’état de fait déterminant se modifie notablement par la suite, le supplément pour soins intenses peut être révisé en application de l’art. 17 LPGA. Le point de savoir si la modification mentionnée s’est produite doit être tranché en comparant les faits tels qu’ils se présentaient au moment de la dernière décision, aussi de révision, entrée en force et reposant sur un examen matériel du droit avec une constatation des faits pertinents et une appréciation des preuves conformes au droit, et ceux qui existaient à l’époque de la décision litigieuse. Les communications - au sens de l'art. 74 ter let. f RAI - peuvent servir de base de comparaison dans le temps, dans la mesure où elles résultent d'un examen matériel du droit (cf. arrêt du Tribunal fédéral 9C_350/2014 du 11 septembre 2014 consid 2.2).![endif]&gt;![if&gt;</w:t>
      </w:r>
    </w:p>
    <w:p>
      <w:r>
        <w:rPr>
          <w:b/>
        </w:rPr>
        <w:t>E. 13.2</w:t>
      </w:r>
    </w:p>
    <w:p>
      <w:r>
        <w:t>L'art. 17 al. 2 LPGA s'applique également à la révision du droit à une allocation pour impotent (arrêts du Tribunal fédéral 9C_653/2012 du 4 février 2013 consid. 4 et 9C_168/2011 du 27 décembre 2011 consid. 2.2).![endif]&gt;![if&gt;</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15</w:t>
      </w:r>
    </w:p>
    <w:p>
      <w:r>
        <w:t>En l'espèce, il n'est pas contesté que la recourante, qui souffrait d'une impotence moyenne depuis le 1 er novembre 2011 en raison de son handicap, présente une impotence de degré grave, (en tous les cas) au moment du dépôt de la demande de révision en février 2021. ![endif]&gt;![if&gt; En ce qui concerne le droit à un supplément pour soins intenses reconnu pour la première fois à partir de cette dernière date, il correspond selon l'intimé à un surcroît d'aide de quatre heures au moins. L'autorité s'appuie à cet égard sur le rapport d'enquête domiciliaire du 26 août 2021, qui évalue le surplus de temps que requiert la recourante pour l'accomplissement des actes ordinaires de la vie par rapport à un enfant en bonne santé du même âge à cent dix-neuf minutes, pour les traitements (gestion et administration de la pilule anti-contraceptive) à une minute, pour l'accompagnement à des visites médicales et chez les thérapeutes à huit minutes, et pour la surveillance à deux heures, soit un surcroît de temps de quatre heures et huit minutes (dossier AI p. 705-708). L'enquêtrice a relevé que la recourante, qui peut se mettre en danger et/ou mettre autrui en danger, nécessite une surveillance et elle n'est jamais laissée seule dans l'appartement. Toutefois, la surveillance n'est pas particulièrement intense ; la recourante peut être dans une pièce et l'adulte dans une autre pièce ; la mère prend sa douche ou va aux toilettes lorsque sa fille est à la maison même s'il n'y a pas d'autres adultes ; la surveillance n'est pas à proximité immédiate.</w:t>
      </w:r>
    </w:p>
    <w:p>
      <w:r>
        <w:rPr>
          <w:b/>
        </w:rPr>
        <w:t>E. 15.1</w:t>
      </w:r>
    </w:p>
    <w:p>
      <w:r>
        <w:t>La recourante fait valoir que son besoin de surveillance doit être considéré comme « particulièrement intense » au sens de l'art. 39 al. 3 RAI, et justifierait un surcroît d'aide de quatre heures par jour, de sorte que son droit au supplément pour soins intenses équivaudrait à un surcroît d'aide de plus de six heures par jour. ![endif]&gt;![if&gt; Elle considère en substance que le rapport d'enquête du 26 août 2021 est incomplet, dans la mesure où il ne comporte pas de description de l'appartement, ni de tous ses habitants (son beau-père, son frère né en 2009 et son demi-frère né en 2013). Elle réfute les allégations de l'intimé selon lesquelles « la maison était garnie en abondance d'objets divers et n'était nullement dépouillée comme on pourrait imaginer qu'elle le serait en cas de risque de mise en danger quotidien, et le balcon librement accessible », en ajoutant que ce rapport d'enquête ne fait pas mention d'une telle description. De plus, on ne peut pas, à ses yeux, raisonnablement imposer à son entourage un dépouillement total et constant chaque jour de toutes les pièces de la maison. Elle conteste le point de vue de l'enquêtrice selon lequel les adultes ne sont pas toujours à sa proximité immédiate, et affirme que son frère est capable de la surveiller et d'appeler la mère en cas de danger, ce dont l'enquêtrice n'a pas tenu compte. Les rares fois où sa mère va aux toilettes seule et que son beau-père n'est pas à la maison, elle doit rester au salon, à proximité immédiate de sa mère, circonstance qui ne correspond pas à celle de l'enfant qui peut être laissé seul cinq minutes. Il serait par ailleurs contraire à la dignité humaine d'exiger, sous l'angle de l'obligation de diminuer le dommage, qu'elle demeure dans les toilettes avec sa mère lorsque cette dernière va aux selles.</w:t>
      </w:r>
    </w:p>
    <w:p>
      <w:r>
        <w:rPr>
          <w:b/>
        </w:rPr>
        <w:t>E. 15.2</w:t>
      </w:r>
    </w:p>
    <w:p>
      <w:r>
        <w:t>La question de savoir si le rapport d'enquête du 26 août 2021 répond ou non aux exigences définies par la jurisprudence s'agissant de la valeur probante d'un tel écrit peut demeurer ouverte, car de toute manière, les informations recueillies auprès des deux écoles (Fondation Ensemble et École &amp; cognition Genève) que fréquente la recourante (à raison de quatre jours par semaine, respectivement d'une journée par semaine) permettent de nier la nécessité pour celle-ci d'une surveillance particulièrement intense. ![endif]&gt;![if&gt; En effet, il y a tout d'abord lieu d'écarter le fait que la recourante se met en danger lorsqu'elle allume les plaques de cuisine, met du savon par terre (courrier du 31 août 2022 de la Fondation Ensemble) ou encore vide les armoires (courrier du 2 septembre 2022 de l'École &amp; cognition Genève), dès lors qu'il appartient à l'entourage de prendre les mesures de sécurité nécessaires dans le cadre de l'obligation de diminuer le dommage (cf. arrêt du Tribunal fédéral 9C_831/2017 du 3 avril 2018 consid. 5.1-5.2). Ensuite, la situation de la recourante n'est pas comparable à celles ayant donné lieu aux arrêts du Tribunal fédéral 9C_666/2013 et I.49/07 cités supra ni à celle exposée au chiffre 8079 de la CIIAI (consid. 10.6.1-10.6.2). S'il lui arrive certes de crier à l'arrêt de bus, de mettre la classe en désordre, de jeter des objets à la poubelle ou par terre, voire d'abîmer le matériel à sa portée, et qu'il faut lui rappeler régulièrement les consignes, injonctions et avertissements verbaux, il n'en demeure pas moins qu'elle ne cherche pas à s'enfuir ou à se pencher à une fenêtre, qu'elle n'a pas besoin d'être tenue par la main à l'extérieur et qu'elle n'est ni auto ni hétéro-agressive. Au contraire, elle joue avec les autres élèves et interagit avec eux de manière discrète et agréable (cf. les deux courriers précités). L'agressivité envers les autres enfants, signalée par la psychiatre et la psychologue traitantes dans leur courrier du 16 avril 2021, remonte au mois d'avril 2016 (dossier AI p. 676), soit à une période antérieure à la scolarisation de la recourante auprès des deux établissements précités. On déduit donc des renseignements fournis par ces derniers une amélioration de la situation, à la date déterminante de la modification du droit aux prestations dès le 1 er février 2021 (consid. 16 ci-dessous). Le fait que la recourante a donné des médicaments au chien, entraînant la nécessité de lui faire un lavage d'estomac, ne modifie pas l'appréciation du cas, puisque ce geste était réactionnel au retour du père biologique qui était parti vivre à l'étranger (rapport du service d'évaluation et d'accompagnement de la séparation parentale du 8 février 2021, dossier AI p. 690). Si l'École &amp; cognition Genève a indiqué que la recourante, dans les situations de frustration, tape du poing, en revanche, selon la Fondation Ensemble, celle-ci ne présente pas de crises de colère. C'est dire que les actes guidés par la colère (frustration) de la recourante ne sont pas (si) fréquents. Par ailleurs, le fait que la recourante ne se déplace pas à l'extérieur sans surveillance, que le personnel encadrant des deux écoles lui rappelle régulièrement les règles de précaution applicables aux piétons et qu'elle ne manifeste pas d'appréhension vis-à-vis des inconnus (cf. courriers des 31 août et 2 septembre 2022) - elle pourrait suivre une personne étrangère (courrier du 2 septembre 2022) - n’est pas suffisant pour qualifier la surveillance personnelle de particulièrement intense, puisque le besoin d'aide pour se déplacer à l'extérieur a quoi qu'il en soit déjà été pris en considération pour évaluer la gravité de l'impotence donnant droit à une allocation (cf. arrêt du Tribunal fédéral 9C_76/2016 du 19 septembre 2016 consid. 3.2.2). L'enquêtrice a à cet égard mis en évidence que la recourante est sans cesse accompagnée pour tous les déplacements à l'extérieur et qu'elle n'a pas conscience des dangers y relatifs (rapport d'enquête du 26 août 2021, dossier AI p. 707). Le fait qu'il arrive à la recourante de se dénuder dans des espaces communs ou à la maison (courrier du 2 septembre 2022) ne justifie pas non plus le besoin d'une surveillance particulièrement intense, vu qu'elle a déjà droit à une allocation pour impotence grave (cf. arrêt du Tribunal fédéral des assurances I.567/06 du 5 mars 2007 consid. 4). Enfin, il y a lieu de relativiser le besoin de surveillance lorsque la mère va aux toilettes ou prend sa douche, dans la mesure où celle-ci explique dans son courrier du 30 septembre 2021, que sa fille veut être tout le temps à proximité d'elle par crainte d'être abandonnée, sentiment qu'elle a développé à la suite du vécu d'abandon par le père (dossier AI p. 726-727).</w:t>
      </w:r>
    </w:p>
    <w:p>
      <w:r>
        <w:rPr>
          <w:b/>
        </w:rPr>
        <w:t>E. 15.3</w:t>
      </w:r>
    </w:p>
    <w:p>
      <w:r>
        <w:t>Dans ces circonstances, il convient d'admettre que la recourante a besoin d'une surveillance permanente sans qu'elle ne soit particulièrement intense au sens de l'art. 39 al. 3 RAI et de confirmer la décision litigieuse sur ce point. ![endif]&gt;![if&gt;</w:t>
      </w:r>
    </w:p>
    <w:p>
      <w:r>
        <w:rPr>
          <w:b/>
        </w:rPr>
        <w:t>E. 16</w:t>
      </w:r>
    </w:p>
    <w:p>
      <w:r>
        <w:t>Reste à déterminer la date à partir de laquelle l'allocation pour impotent de degré grave avec un supplément pour soins intenses de quatre heures au moins doit prendre effet. ![endif]&gt;![if&gt;</w:t>
      </w:r>
    </w:p>
    <w:p>
      <w:r>
        <w:rPr>
          <w:b/>
        </w:rPr>
        <w:t>E. 16.1</w:t>
      </w:r>
    </w:p>
    <w:p>
      <w:r>
        <w:t>Lorsque le degré d'impotence subit une modification importante, les art. 87 à 88 bis sont applicables (art. 35 al. 2 1 ère phrase RAI). ![endif]&gt;![if&gt; Selon l'art. 88a al. 2 1 ère phrase RAI, si l'incapacité de gain ou l'impotence d'un assuré s'aggrave, il y a lieu de considérer que ce changement accroît, le cas échéant, son droit aux prestations dès qu'il a duré trois mois sans interruption notable. Aux termes de l'art. 88 bis al. 1 RAI, l'augmentation de la rente, de l'allocation pour impotent ou de la contribution d'assistance prend effet, au plus tôt : si la révision est demandée par l'assuré, dès le mois où cette demande est présentée (let. a) ; si la révision a lieu d'office, dès le mois pour lequel on l'avait prévue (let. b).</w:t>
      </w:r>
    </w:p>
    <w:p>
      <w:r>
        <w:rPr>
          <w:b/>
        </w:rPr>
        <w:t>E. 16.2</w:t>
      </w:r>
    </w:p>
    <w:p>
      <w:r>
        <w:t>La recourante fait valoir que l'allocation pour impotent de degré grave avec le supplément pour soins intenses devraient lui être reconnus dès le mois d'août 2018, au motif que l'intimé aurait dû procéder à une révision d'office à ce moment, conformément aux indications contenues dans le rapport d'enquête à domicile du 13 mai 2014 (qui prévoyait une révision lorsque la recourante aurait 13 ans). ![endif]&gt;![if&gt;</w:t>
      </w:r>
    </w:p>
    <w:p>
      <w:r>
        <w:rPr>
          <w:b/>
        </w:rPr>
        <w:t>E. 16.3</w:t>
      </w:r>
    </w:p>
    <w:p>
      <w:r>
        <w:t>En l'occurrence, l'argumentation de la recourante ne peut pas être suivie. À la suite d'une révision effectuée d'office le 3 septembre 2018 - un mois après que la recourante, née le 2 août 2005, a eu 13 ans -, l'intimé a, par communication du 4 octobre 2018, fait état d'un droit inchangé à une allocation pour impotent de degré moyen sans supplément pour soins intenses.![endif]&gt;![if&gt; Ce faisant, l'intimé a procédé conformément à l'art. 74 quater al. 1 RAI, à teneur duquel l’office AI communique par écrit à l’assuré les prononcés rendus selon l’art. 74 ter et lui signale qu’il peut, s’il conteste le prononcé, exiger la notification d’une décision. Selon l'art. 74 ter RAI, si les conditions permettant l’octroi d’une prestation sont manifestement remplies et qu’elles correspondent à la demande de l’assuré, les prestations suivantes peuvent être accordées ou prolongées sans notification d’un préavis ou d’une décision (art. 58 LAI) : les rentes et les allocations pour impotent à la suite d’une révision effectuée d’office, pour autant qu’aucune modification de la situation propre à influencer le droit aux prestations n’ait été constatée (let. f). Cela étant, à réception de la communication du 4 octobre 2018, la recourante n'a pas manifesté son désaccord en exigeant une décision sujette à recours. Aussi cette communication était-elle entrée en force (dans ce sens : ATAS/891/2021 du 31 août 2021 consid. 11). En conséquence, c'est à juste titre que l'intimé n'a pas fait rétroagir au mois d'août 2018 le droit à l'allocation pour impotence de degré grave accompagné du supplément pour soins intenses, modifications constatées à la suite de la demande de révision déposée par la recourante en février 2021.</w:t>
      </w:r>
    </w:p>
    <w:p>
      <w:r>
        <w:rPr>
          <w:b/>
        </w:rPr>
        <w:t>E. 17</w:t>
      </w:r>
    </w:p>
    <w:p>
      <w:r>
        <w:t>Compte tenu de ce qui précède, la chambre de céans ne peut que rejeter le recours. ![endif]&gt;![if&gt;</w:t>
      </w:r>
    </w:p>
    <w:p>
      <w:r>
        <w:rPr>
          <w:b/>
        </w:rPr>
        <w:t>E. 18</w:t>
      </w:r>
    </w:p>
    <w:p>
      <w:r>
        <w:t>Au vu du sort du recours, la recourante sera condamnée au paiement d’un émolument, arrêté en l'espèce à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