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A/2486/2024 vom 26. März 2025</w:t>
      </w:r>
    </w:p>
    <w:p>
      <w:r>
        <w:t>GE Cour de justice, 2025-03-26, FR</w:t>
      </w:r>
    </w:p>
    <w:p>
      <w:r>
        <w:rPr>
          <w:b/>
        </w:rPr>
        <w:t xml:space="preserve">Quelle: </w:t>
      </w:r>
      <w:r>
        <w:t>https://mcp.opencaselaw.ch/entscheid/ge_gerichte_A_2486_2024</w:t>
      </w:r>
    </w:p>
    <w:p>
      <w:r>
        <w:t>FR: GE_GERICHTE A/2486/2024 du 26 mars 2025</w:t>
      </w:r>
    </w:p>
    <w:p>
      <w:r>
        <w:t>IT: GE_GERICHTE A/2486/2024 del 26 marzo 2025</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Selon la police d’assurance, le contrat est régi par la LCA. La compétence de la chambre de céans à raison de la matière pour juger du cas d’espèce est ainsi établie. L’assurance en cause dans le litige déféré à la chambre de céans est une assurance maladie collective d’indemnités journalières soumise à la LCA, comme cela ressort de la police d’assurance conclue par l’employeur de la demanderesse et des conditions générales d’assurance (CG) de la défenderesse. La chambre de céans est donc compétente à raison de la matière pour statuer sur la demande.</w:t>
      </w:r>
    </w:p>
    <w:p>
      <w:r>
        <w:rPr>
          <w:b/>
        </w:rPr>
        <w:t>E. 1.1</w:t>
      </w:r>
    </w:p>
    <w:p>
      <w:r>
        <w:t>S’agissant de la compétence à raison du lieu, l’art. 46a LCA prescrit que le for se définit selon la loi du 24 mars 2000 sur les fors (LFors) qui a été abrogée au 1 er janvier 2011 par l’entrée en vigueur du CPC, auquel il convient désormais de se référer. Sauf disposition contraire de la loi, pour les actions dirigées contre les personnes morales, le for est celui de leur siège (art. 10 al. 1 let. b CPC), étant précisé que l’art. 17 al. 1 CPC consacre la possibilité d’une élection de for écrite. L’art. 329 CG prescrit que la défenderesse peut être poursuivie par le preneur d’assurance et la personne assurée à son siège et par les employés assurés disposant d’un droit d’action direct envers Allianz, soit au siège de cette dernière, soit à leur lieu de travail en Suisse. En l’occurrence, l’employeur de la recourante est domicilié dans le canton de Genève, où il développe son activité, de sorte que la chambre de céans est compétente à raison du lieu pour connaître de la demande.</w:t>
      </w:r>
    </w:p>
    <w:p>
      <w:r>
        <w:rPr>
          <w:b/>
        </w:rPr>
        <w:t>E. 2</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 ATAS/577/2011 du 31 mai 2011), comme c’est le cas dans le canton de Genève (art. 134 al. 1 let. c LOJ).</w:t>
      </w:r>
    </w:p>
    <w:p>
      <w:r>
        <w:rPr>
          <w:b/>
        </w:rPr>
        <w:t>E. 3</w:t>
      </w:r>
    </w:p>
    <w:p>
      <w:r>
        <w:t>À titre liminaire, il convient d'examiner les conclusions de la demande.</w:t>
      </w:r>
    </w:p>
    <w:p>
      <w:r>
        <w:rPr>
          <w:b/>
        </w:rPr>
        <w:t>E. 3.1</w:t>
      </w:r>
    </w:p>
    <w:p>
      <w:r>
        <w:t>Aux termes de l’art. 58 CPC, le tribunal ne peut accorder à une partie ni plus ni autre chose que ce qui est demandé ni moins que ce qui est reconnu par la partie adverse (al. 1). Les dispositions prévoyant que le tribunal n’est pas lié par les conclusions des parties sont réservées (al. 2). Selon l'art. 59 CPC, le tribunal n'entre en matière que sur les demandes qui satisfont aux conditions de recevabilité de l'action. Ces conditions sont examinées d’office (art. 60 CPC). La liste des conditions de recevabilité prévue à l’article 59 al. 2 CPC n’est pas exhaustive (François BOHNET, in Code de procédure civile commenté, n. 9 ad art. 59 CPC).</w:t>
      </w:r>
    </w:p>
    <w:p>
      <w:r>
        <w:rPr>
          <w:b/>
        </w:rPr>
        <w:t>E. 3.2</w:t>
      </w:r>
    </w:p>
    <w:p>
      <w:r>
        <w:t>Selon l’art. 84 CPC, le demandeur intente une action condamnatoire pour obtenir que le défendeur fasse, s’abstienne de faire ou tolère quelque chose (al. 1). L’action tendant au paiement d’une somme d’argent doit être chiffrée (al. 2). Aux termes de l’art. 85 CPC, si le demandeur est dans l’impossibilité d’articuler d’entrée de cause le montant de sa prétention ou si cette indication ne peut être exigée d’emblée, il peut intenter une action non chiffrée. Il doit cependant indiquer une valeur minimale comme valeur litigieuse provisoire (al. 1). Une fois les preuves administrées ou les informations requises fournies par le défendeur, le demandeur doit chiffrer sa demande dès qu’il est en état de le faire. La compétence du tribunal saisi est maintenue, même si la valeur litigieuse dépasse sa compétence (al. 2). Dès lors qu’en application de la maxime de disposition (art. 58 CPC), il ne peut être statué ni ultra petita ni extra petita partium , le juge doit connaître exactement les limites dans lesquelles le dispositif du jugement s’inscrit (cf. Christoph HURNI, Berner Kommentar, Schweizerische Zivilprozessordnung, 2012, n. 36 ad art. 58 CPC et les références citées). Il en découle que les conclusions doivent être déterminées avec suffisamment de précision, de manière qu’en cas d'admission de celles-ci, le jugement puisse être exécuté (cf. les arrêts du Tribunal fédéral 5A_832/2012 du 25 janvier 2013 consid. 6.2 et 5A_663/2011 du 8 décembre 2011 consid. 4.3). En d’autres termes, l’exécution (ou la sanction de l’inexécution) doit pouvoir être obtenue auprès de l’autorité compétente sans que celle-ci doive encore résoudre des questions de fond (cf. François BOHNET, op. cit. n. 2 et les références citées). Dans un arrêt du 27 juillet 2017, le Tribunal fédéral a considéré que les conclusions d’un assuré tendant à ce que l’assureur fût condamné à lui verser rétroactivement et de manière continue toutes les indemnités journalières (« rückwirkend ab […] und fortdauernd das ganze Krankentaggeld auszurichten ») ne remplissaient pas les conditions d’une action en paiement non chiffrée au sens de l’art. 85 al. 1 CPC. Après avoir rappelé que l’action tendant au paiement d’une somme d’argent devait être chiffrée (art. 84 al. 2 CPC), ce qui n’était pas le cas dans l’espèce à juger, il a laissé indécis le point de savoir si la juridiction cantonale aurait dû entrer en matière sur le chef de conclusion précité (arrêt du Tribunal fédéral 4A_110/2017 du 27 juillet 2017 consid. 1.3). Dans un arrêt plus récent, le Tribunal fédéral a considéré que la juridiction cantonale pouvait, sans violer le droit, déclarer irrecevable le chef de conclusion « visant le paiement des prestations découlant du contrat d'assurance », dès lors qu’on ne discernait pas en quoi le calcul des indemnités journalières dues à l’assurée, déduction faite de celles qui lui avaient déjà été versées, apparaissait compliqué au point de confiner à l'impossibilité (arrêt du Tribunal fédéral 4A_618/2017 du 11 janvier 2018 consid. 4.2). On signalera encore que dans deux autres affaires d’assurance maladie collective perte de gain, le Tribunal fédéral a jugé irrecevables les conclusions d’assurés tendant simplement aux « prestations découlant du contrat d’assurance n. 50'123’083 » ou ordonnant « à [l’assurance] de calculer et de verser l’indemnité journalière en cas de maladie au demandeur, dès le 30 août 2004, plus intérêts à 5% dès la même date » (ATF 134 III 235 consid. 2 ; arrêt du Tribunal fédéral 4A_107/2008 du 5 juin 2008 consid. 2.2).</w:t>
      </w:r>
    </w:p>
    <w:p>
      <w:r>
        <w:rPr>
          <w:b/>
        </w:rPr>
        <w:t>E. 3.3</w:t>
      </w:r>
    </w:p>
    <w:p>
      <w:r>
        <w:t>Selon l'art. 132 al. 1 CPC, le tribunal fixe un délai pour la rectification des vices de forme telle l'absence de signature ou procuration. Le texte légal se rapportant aux vices de forme, il ne saurait être remédié à un défaut de motivation ou à des conclusions déficientes par ce biais, de tels vices n'étant pas d'ordre purement formel et affectant l'acte de façon irréparable (ATF 140 III 409 consid. 4.3.2 ; ATF 137 III 617 consid. 6.4 ; arrêt du Tribunal fédéral 4A_618/2017 du 11 janvier 2018 consid. 4.4 ; François BOHNET, in Commentaire romand, Code de procédure civile, 2019, n. 19 ad art. 85 CPC). Il découle ainsi de la jurisprudence que l’absence de conclusions chiffrées constitue un vice entraînant l’irrecevabilité de la demande, sans que la fixation d’un délai au sens de l’art. 132 al. 1 CPC ne se justifie et sans qu’il soit question de formalisme excessif (arrêt du Tribunal fédéral 4A_618/2017 du 11 janvier 2018 consid. 4.4 et les références citées).</w:t>
      </w:r>
    </w:p>
    <w:p>
      <w:r>
        <w:rPr>
          <w:b/>
        </w:rPr>
        <w:t>E. 3.4</w:t>
      </w:r>
    </w:p>
    <w:p>
      <w:r>
        <w:t>En l’espèce, la demande adressée à la chambre de céans ne contient pas de conclusions chiffrées, contrairement à ce qui est prescrit par l’art. 84 al. 2 CPC, de sorte qu’elle est irrecevable, étant précisé qu’il ne s’agit pas d’un vice réparable, selon la jurisprudence. La demanderesse est ainsi invitée à former une nouvelle demande répondant aux conditions légales.</w:t>
      </w:r>
    </w:p>
    <w:p>
      <w:r>
        <w:rPr>
          <w:b/>
        </w:rPr>
        <w:t>E. 4</w:t>
      </w:r>
    </w:p>
    <w:p>
      <w:r>
        <w:t>Il n'est pas perçu de frais judiciaires (art. 114 let. e CPC), ni alloué de dépens à la charge de la demanderesse (art. 22 al. 3 let. b de la loi d'application du code civil suisse et d'autres lois fédérales en matière civile du 11 octobre 2012 [LaCC - E 1 05]).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