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A/2476/2005 vom 8. November 2005</w:t>
      </w:r>
    </w:p>
    <w:p>
      <w:r>
        <w:t>GE Cour de justice, 2005-11-08, FR</w:t>
      </w:r>
    </w:p>
    <w:p>
      <w:r>
        <w:rPr>
          <w:b/>
        </w:rPr>
        <w:t xml:space="preserve">Quelle: </w:t>
      </w:r>
      <w:r>
        <w:t>https://mcp.opencaselaw.ch/entscheid/ge_gerichte_A_2476_2005</w:t>
      </w:r>
    </w:p>
    <w:p>
      <w:r>
        <w:t>FR: GE_GERICHTE A/2476/2005 du 8 novembre 2005</w:t>
      </w:r>
    </w:p>
    <w:p>
      <w:r>
        <w:t>IT: GE_GERICHTE A/2476/2005 del 8 novembre 2005</w:t>
      </w:r>
    </w:p>
    <w:p>
      <w:pPr>
        <w:pStyle w:val="Heading2"/>
      </w:pPr>
      <w:r>
        <w:t>Erwägungen</w:t>
      </w:r>
    </w:p>
    <w:p>
      <w:r>
        <w:rPr>
          <w:b/>
        </w:rPr>
        <w:t>E. 1</w:t>
      </w:r>
    </w:p>
    <w:p>
      <w:r>
        <w:t>Après avoir obtenu sa licence en droit, Monsieur R.__________ (ci-après : le candidat ou le recourant) a effectué un stage d’avocat auprès d’une étude d’avocats de la place. Afin d’obtenir le brevet d’avocat dans le canton de Genève, il s’est présenté, pour la troisième fois, à la session d’examen de mai 2005.</w:t>
      </w:r>
    </w:p>
    <w:p>
      <w:r>
        <w:rPr>
          <w:b/>
        </w:rPr>
        <w:t>E. 2</w:t>
      </w:r>
    </w:p>
    <w:p>
      <w:r>
        <w:t>Le candidat a pris connaissance des modalités de l’examen final, fixées par une directive de la commission d’examens des avocats (ci-après : la commission) du 1 er janvier 2003, modifiée le 18 mars 2005. Elle expose qu’ « il s’agit d’un examen professionnel. Il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 Elle prévoit que les candidats se munissent des éditions annotées des codes fédéraux (SCYBOZ/GILLIERON : CC et CO annotés ; FAVRE/PELLET/STOUDMANN : CP annoté ; JAEGER/ KRAUSKOPF/ STOFFEL : LP annotée) et précise : « si la solution des questions posées implique le recours à des dispositions légales autres que celles publiées dans les ouvrages précités, les textes utiles sont remis aux candidats au début de la préparation de l’examen ».</w:t>
      </w:r>
    </w:p>
    <w:p>
      <w:r>
        <w:rPr>
          <w:b/>
        </w:rPr>
        <w:t>E. 3</w:t>
      </w:r>
    </w:p>
    <w:p>
      <w:r>
        <w:t>L’épreuve écrite a eu lieu le 3 mai 2005. L’énoncé de celle-ci comportait une atteinte aux droits de la personnalité (sous la forme d’une atteinte au droit à l’oubli) du fait de la parution d’un article de presse, sous la plume d’une journaliste nommément désignée. Il était demandé aux candidats d’agir judiciairement et de faire parvenir à leur client un projet d’assignation assorti de brefs commentaires quant à ses chances de succès et des mesures probatoires que l’avocat entendait éventuellement solliciter dans la procédure. Concernant les personnes susceptibles d’avoir la légitimation passive, il était précisé, à la fin de l’énoncé, qu’en avril 2005 la société détenant le journal en cause avait été rachetée par une autre société, domiciliée à la même adresse à Genève, avec une reprise totale des actifs et des passifs de la première. Quant à la journaliste ayant rédigé l’article, elle résidait en France ; l’adresse complète était indiquée en toutes lettres.</w:t>
      </w:r>
    </w:p>
    <w:p>
      <w:r>
        <w:rPr>
          <w:b/>
        </w:rPr>
        <w:t>E. 4</w:t>
      </w:r>
    </w:p>
    <w:p>
      <w:r>
        <w:t>Lors de cette épreuve, la commission a distribué aux candidats les textes de lois suivants : - la loi sur l'organisation judiciaire du 22 novembre 1941 (LOJ - E 2 05) - la loi de procédure civile du 10 avril 1987 (LPC – E 3 05) - la loi fédérale sur les fors en matière civile du 24 mars 2000 ( LFors – RS 272) Pour le surplus, les candidats avaient été informés qu’ils pouvaient librement disposer de leur exemplaire personnel du CC/CO annotés, édition 1999 ou 2004 au choix du candidat, ce que la commission a admis.</w:t>
      </w:r>
    </w:p>
    <w:p>
      <w:r>
        <w:rPr>
          <w:b/>
        </w:rPr>
        <w:t>E. 5</w:t>
      </w:r>
    </w:p>
    <w:p>
      <w:r>
        <w:t>En revanche, n’ont pas été distribués les deux textes légaux suivants : - la convention du 16 septembre 1988 concernant la compétence judiciaire et l’exécution des décisions en matière civile et commerciale (CL – RS 0.272.11) - la loi fédérale du 3 octobre 2003 sur la fusion, la scission, la transformation et le transfert de patrimoine du 3 octobre 2003 (LFus – RS 221.301) Les candidats qui avaient choisi de se munir de l’édition 2004 du CC/CO annotés disposaient de ce dernier texte, celui-ci faisant partie des annexes.</w:t>
      </w:r>
    </w:p>
    <w:p>
      <w:r>
        <w:rPr>
          <w:b/>
        </w:rPr>
        <w:t>E. 6</w:t>
      </w:r>
    </w:p>
    <w:p>
      <w:r>
        <w:t>A l’issue du délai de cinq heures, le candidat a remis sa copie.</w:t>
      </w:r>
    </w:p>
    <w:p>
      <w:r>
        <w:rPr>
          <w:b/>
        </w:rPr>
        <w:t>E. 7</w:t>
      </w:r>
    </w:p>
    <w:p>
      <w:r>
        <w:t>Le candidat a subi les deux épreuves orales les 11 et 18 mai 2005.</w:t>
      </w:r>
    </w:p>
    <w:p>
      <w:r>
        <w:rPr>
          <w:b/>
        </w:rPr>
        <w:t>E. 8</w:t>
      </w:r>
    </w:p>
    <w:p>
      <w:r>
        <w:t>Par pli du 7 juin 2005, la commission a communiqué au candidat le résultat de son examen. Il avait obtenu un total de 19 points, dont 4 points à l’épreuve écrite. Selon l’article 30 alinéa 2 du règlement d’application de la loi sur la profession d’avocat du 5 juin 2002 (RLPAv – E 6 10.01), l’examen final est réussi si le total des points est égal ou supérieur à 20. N’ayant pas obtenu la moyenne requise, le candidat avait échoué. La décision indiquait les voies de recours ouvertes. Enfin, une séance de correction collective était annoncée.</w:t>
      </w:r>
    </w:p>
    <w:p>
      <w:r>
        <w:rPr>
          <w:b/>
        </w:rPr>
        <w:t>E. 9</w:t>
      </w:r>
    </w:p>
    <w:p>
      <w:r>
        <w:t>Le 15 juin 2005 s’est déroulée la séance de correction collective. Selon la commission, à cette occasion, ses délégués ont exposé, pour les épreuves écrites et orales, les réponses attendues des candidats ainsi que les barèmes appliqués. Aucun point n’a été attribué aux candidats qui connaissaient la CL de mémoire et qui ont assigné la journaliste en l’invoquant. Selon le candidat, au cours de cette séance, les correcteurs ont indiqué que l’absence du texte de la CL ne consistait pas en un oubli car on n’attendait pas des candidats qu’ils assignent la personne domiciliée en France, puisqu’il est notoire que les journalistes sont mal rémunérés. De même, pour ce qui avait trait à la cession de patrimoine d’une société anonyme à l’autre, il suffisait de mentionner l’article 181 CO, la commission n’étant pas experte en la matière.</w:t>
      </w:r>
    </w:p>
    <w:p>
      <w:r>
        <w:rPr>
          <w:b/>
        </w:rPr>
        <w:t>E. 10</w:t>
      </w:r>
    </w:p>
    <w:p>
      <w:r>
        <w:t>Le 4 juillet 2005, le premier secrétaire du comité du jeune barreau (ci-après : le comité), s'est adressé par lettre au président de la commission pour l'informer de la position du comité concernant l'examen de fin de stage. Il a exposé que, vu le haut niveau de compétence espéré des candidats, il était légitime d'attendre que l'examen se déroule dans des conditions irréprochables et conformes aux exigences légales. Il a également considéré que lorsque l'examen était entaché d'un problème qui perturbait son déroulement de manière significative, il était approprié de donner aux candidats la possibilité de repasser l'épreuve. Il invitait en conséquence la commission à organiser une nouvelle épreuve écrite au plus vite afin de donner la possibilité à l’ensemble des candidats ayant échoué lors de la dernière session d’examens de pouvoir le repasser.</w:t>
      </w:r>
    </w:p>
    <w:p>
      <w:r>
        <w:rPr>
          <w:b/>
        </w:rPr>
        <w:t>E. 11</w:t>
      </w:r>
    </w:p>
    <w:p>
      <w:r>
        <w:t>Par acte du 11 juillet 2005, le candidat a interjeté recours contre la décision du 7 juin 2005. Il conclut principalement à l’annulation de l’examen écrit et à ce qu’il soit autorisé à se représenter à l’épreuve écrite. Il a insisté sur le fait qu'il avait perdu, de façon totalement inutile et injustifiable, un temps considérable à tenter de résoudre le dilemme dans lequel les omissions de la commission l'avait plongé. Cette situation était d'autant plus intolérable qu'il était dans un état exceptionnel de stress lié à l'enjeu que représentait cet examen par rapport à l’ensemble de sa formation juridique et de ses perspectives de carrière. S'appuyant sur la jurisprudence fédérale et cantonale en la matière, il a fait valoir que le fait d’avoir omis de remettre aux candidats tant la CL que la LFus était constitutif d'un vice de procédure grave et irréparable. Il a également estimé que l’appréciation de sa prestation écrite avait été arbitraire.</w:t>
      </w:r>
    </w:p>
    <w:p>
      <w:r>
        <w:rPr>
          <w:b/>
        </w:rPr>
        <w:t>E. 12</w:t>
      </w:r>
    </w:p>
    <w:p>
      <w:r>
        <w:t>Dans son écriture du 16 septembre 2005, la commission a contesté les griefs avancés par le recourant. S’il était vrai qu’elle devait mettre à disposition les textes utiles, l’obligation de la commission ne pouvait ni ne devait s’étendre à tous les textes qui pourraient trouver une éventuelle application au cas donné. La commission n’avait que l’obligation de mettre à disposition des candidats les textes leur permettant de trouver une solution au cas donné. Ainsi, dans le cas d’espèce, il ne se justifiait pas de remettre aux candidats la CL parce qu’il suffisait que le candidat dirige l’assignation contre les deux sociétés. Il pouvait expliquer dans la lettre qu’une action contre celles-ci, a priori plus solvables suffisait et permettait de sauvegarder les droits du client et qu’il n’était pas nécessaire d’agir contre la journaliste. Dans une cause réelle, un tel choix était vraisemblable et se justifiait, par exemple si l’adresse de la personne était inconnue ou encore si sa solvabilité était faible. L’examen de la copie du recourant révélait par ailleurs que l’absence du texte de la CL n’avait pas eu d’impact négatif sur l’appréciation de son travail, laquelle n’était donc pas arbitraire, et qu’en conséquence il n’avait subi aucun préjudice. Compte tenu de l’ensemble de ces éléments, la commission conclut au rejet du recours. EN DROIT 1. Interjeté en temps utile devant la juridiction compétente, le recours est recevable (art. 56A de la loi sur l'organisation judiciaire du 22 novembre 1941 - LOJ - E 2 05 ; art. 63 al. 1 litt. a de la loi sur la procédure administrative du 12 septembre 1985 - LPA - E 5 10 ; art. 31 alinéa 1 RLPAv). 2. 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 3. L'article 32 LPAv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qu’elle a modifiées le 18 mars 2005.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3 mai 2005 impliquait le recours à la CL et à la LFus, et les conséquences de la non-remise de ces lois aux candidats. 4. Selon l’avis de l’autorité intimée, il était attendu du candidat un projet d’assignation et non pas un acte définitif ou une consultation exhaustive sur le sujet. Le candidat devait argumenter ses choix, la lettre d’accompagnement étant prévue à cet effet. Théoriquement, le candidat avait le choix d’agir contre la journaliste, contre la société propriétaire du journal au moment des faits et la société reprenante. Pratiquement, selon la commission, le candidat devait diriger son projet d’assignation contre les deux sociétés en expliquant dans la lettre qu’une action contre celles-ci, a priori plus solvables, était suffisante pour sauvegarder les droits de son client. Les éléments qui justifiaient cette conclusion étaient d’une part le terme « inopinément », relatif à l’adresse de la journaliste qui permettait de penser que cette information n’était pas totalement fiable et l’absence de la CL qui empêchait le candidat de déterminer le for. La question de la solvabilité de la journaliste se posait également en regard de celle des sociétés. Or, en introduisant à la fin de l’énoncé des indications très précises quant à la reprise de la société propriétaire d’une part et au domicile de la journaliste d’autre part, l’accent était clairement mis sur la problématique de la légitimation passive. On a ainsi du mal à comprendre pourquoi la commission d’examen a introduit un élément d’extranéité (le domicile de la journaliste à l’étranger) si c’était pour ne pas en tenir compte. Les explications de la commission à cet égard ne sont pas convaincantes. En l’absence d’une mention quelle qu’elle soit quant à l’insolvabilité de la journaliste dans l’énoncé de l’examen, le candidat n’avait aucun motif valable pour renoncer à l’assigner. Il devait à tout le moins avertir son client qu’il était possible de l’assigner de manière conjointe avec les sociétés et pour cela il devait invoquer la CL et par conséquent disposer de son texte. Il en est de même de la LFus. Depuis l’entrée en vigueur de cette loi, l’article 181 alinéa 4 CO y renvoie pour ce qui concerne la cession d’un patrimoine ou d’une entreprise appartenant à des sociétés commerciales. Il s’ensuit que pour justifier l’assignation des deux sociétés, il convenait de citer la LFus et en particulier l’article 75 alinéa 1er LFus prévoyant que les anciens débiteurs restent solidairement obligés pendant trois ans avec le nouveau débiteur de l’exécution des dettes nées avant le transfert de patrimoine. Là encore, tous les candidats ne disposaient pas du texte de la loi puisqu’elle n’avait pas été distribuée et que la commission avait admis que les candidats se munissent de l’exemplaire du CC/ CO annoté de 1999 qui ne comportait pas le texte de cette loi. 5. 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A cet effet, la directive relève que les textes légaux nécessaires à la solution des problèmes posés sont mis à la disposition des candidats. A ce propos le Tribunal administratif a déjà eu l’occasion de dire qu’en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 ATA/6/2004 du 6 janvier 2004 consid. 5). Ce raisonnement est d’autant plus fondé dans le cas d’espèce que, de l’aveu même de la commission, l’un des indices qui, selon elle, devait dissuader les candidats d’assigner la journaliste était l’absence de mise à disposition du texte de la CL. Or, dans la réalité, l’absence du texte de loi ne peut en aucun cas constituer le fondement d’un raisonnement juridique. Par conséquent, en omettant de fournir aux candidats la CL et la LFus, la commission a violé les directives qu’elle a elle-même émises pour régler les modalités de l’examen de fin de stage. Le grief de violation du droit est donc fondé. 6. 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 ATA/6/2004 du 6 janvier 2004 consid. 6 décision du Conseil fédéral du 27 mars 1991, in JAAC 56/I, 1992, p. 131). En l’espèce, le vice de procédure a eu diverses conséquences sur les résultats de l’examen. D’abord l’impossibilité d’attraire la journaliste française devant la juridiction genevoise compétente ainsi que le fait de n’être pas en mesure de citer les dispositions légales adéquates fondant la légitimation passive des deux sociétés propriétaires du journal. Ensuite, objectivement pour tous les candidats, une importante perte de temps à se demander si les omissions de la commission étaient ou non volontaires, soit s’il fallait ou non y voir un signe quant aux attentes des examinateurs et en conséquence un temps réduit pour résoudre les autres questions de l’examen. Enfin, pour tous les candidats, et notamment pour le recourant qui se présentait pour la troisième fois à l’examen, une tension supplémentaire conduisant à la perte de sa concentration et de ses moyens. 7. Reste à déterminer si le vice constaté peut être réparé, notamment en prenant en considération lors de la correction des travaux l'absence de la CL et de la LFus.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commission de recours du département fédéral d’économie publique du 14 mai 1996, in JAAC 61/I, 1997, p. 336). Cette argumentation est également applicable en l’espèce. Vu les circonstances, il a été retenu que la CL et la LFus étaient nécessaire à la résolution du cas. Or, il est impossible de déterminer quelles réponses le recourant aurait pu développer s’il n'avait pas perdu son temps et ses moyens à cause de l'absence lois en question. Ne pas pénaliser des réponses erronées sur un seul aspect de l'examen ne suffit pas. Ainsi, le fait de ne pas attribuer de point supplémentaire pour les candidats qui connaissaient la CL par cœur ou l’avaient recopiée dans leurs codes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d’attribuer au recourant une autre note que celle que lui a fixée la commission, ce que le recourant, au demeurant, ne sollicite pas. Le seul remède possible consiste à refaire en tout cas l’examen écrit. 8. Au vu de ce qui précède, il n’est pas nécessaire d’examiner le grief d’arbitraire soulevé par le recourant. 9. Le recours sera ainsi admis. La décision de la commission d'examens des avocats sera annulée. Le candidat sera donc autorisé à repasser l'épreuve écrite de l'examen de fin de stage. La note obtenue sur la base des examens oraux présentés à la session de mai 2005 et de l'examen écrit qui sera refait suite à l'admission du présent recours sera considérée comme la troisième tentative du candidat au sens de l'article 30 alinéa 4 RLPAv. 10. Une indemnité de procédure de CHF 1’000.-, à la charge de l’Etat, sera allouée au recourant qui obtient en partie gain de cause (art. 87 LPA). Vu l’issue du litige, un émolument de CHF 300.- sera mis à la charge de l’administration.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